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4B47C3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061282" w:rsidRDefault="00D02BB5">
            <w:pPr>
              <w:rPr>
                <w:rFonts w:ascii="Helvetica" w:hAnsi="Helvetica"/>
              </w:rPr>
            </w:pPr>
            <w:bookmarkStart w:id="0" w:name="_GoBack"/>
            <w:bookmarkEnd w:id="0"/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201420" cy="818515"/>
                  <wp:effectExtent l="0" t="0" r="0" b="635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4B47C3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4B47C3" w:rsidRPr="00061282" w:rsidRDefault="004B47C3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4B47C3" w:rsidRPr="000A344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0A3441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0A3441" w:rsidRDefault="00B56BC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Maroons Representative</w:t>
            </w:r>
          </w:p>
        </w:tc>
      </w:tr>
      <w:tr w:rsidR="004B47C3" w:rsidRPr="000A3441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7C3" w:rsidRPr="000A3441" w:rsidRDefault="004B47C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0A3441" w:rsidRDefault="004B47C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B47C3" w:rsidRPr="000A344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0A3441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0A3441" w:rsidRDefault="00B56BC0">
            <w:p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May 1 – April 30</w:t>
            </w:r>
          </w:p>
        </w:tc>
      </w:tr>
      <w:tr w:rsidR="004B47C3" w:rsidRPr="000A3441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7C3" w:rsidRPr="000A3441" w:rsidRDefault="004B47C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0A3441" w:rsidRDefault="004B47C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B47C3" w:rsidRPr="000A344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0A3441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0A3441" w:rsidRDefault="00B56BC0">
            <w:p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Maroons Coordinator</w:t>
            </w:r>
          </w:p>
        </w:tc>
      </w:tr>
      <w:tr w:rsidR="004B47C3" w:rsidRPr="000A3441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7C3" w:rsidRPr="000A3441" w:rsidRDefault="004B47C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0A3441" w:rsidRDefault="004B47C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B47C3" w:rsidRPr="000A344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0A3441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0A3441" w:rsidRDefault="001C0961">
            <w:p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4B47C3" w:rsidRPr="000A3441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47C3" w:rsidRPr="000A3441" w:rsidRDefault="004B47C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B47C3" w:rsidRPr="000A3441" w:rsidRDefault="004B47C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B47C3" w:rsidRPr="000A3441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0A3441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7C3" w:rsidRPr="000A3441" w:rsidRDefault="00B56BC0" w:rsidP="004722CA">
            <w:p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2-3 hours per week</w:t>
            </w:r>
            <w:r w:rsidR="004722CA">
              <w:rPr>
                <w:rFonts w:ascii="Helvetica" w:hAnsi="Helvetica"/>
                <w:sz w:val="22"/>
                <w:szCs w:val="22"/>
              </w:rPr>
              <w:t>, may exceed stated hours during Welcome Week</w:t>
            </w:r>
          </w:p>
        </w:tc>
      </w:tr>
    </w:tbl>
    <w:p w:rsidR="004B47C3" w:rsidRPr="000A3441" w:rsidRDefault="004B47C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0A3441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0A3441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4B47C3" w:rsidRPr="000A3441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47C3" w:rsidRPr="000A3441" w:rsidRDefault="00B56BC0">
            <w:p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Maroons Representatives (Maroon “Reps”) are responsible fo</w:t>
            </w:r>
            <w:r w:rsidR="001C0961" w:rsidRPr="000A3441">
              <w:rPr>
                <w:rFonts w:ascii="Helvetica" w:hAnsi="Helvetica"/>
                <w:sz w:val="22"/>
                <w:szCs w:val="22"/>
              </w:rPr>
              <w:t xml:space="preserve">r promoting McMaster spirit, </w:t>
            </w:r>
            <w:r w:rsidRPr="000A3441">
              <w:rPr>
                <w:rFonts w:ascii="Helvetica" w:hAnsi="Helvetica"/>
                <w:sz w:val="22"/>
                <w:szCs w:val="22"/>
              </w:rPr>
              <w:t>assisting with events during both Welcome Week and the remainder of the academic year</w:t>
            </w:r>
            <w:r w:rsidR="001C0961" w:rsidRPr="000A3441">
              <w:rPr>
                <w:rFonts w:ascii="Helvetica" w:hAnsi="Helvetica"/>
                <w:sz w:val="22"/>
                <w:szCs w:val="22"/>
              </w:rPr>
              <w:t xml:space="preserve"> and </w:t>
            </w:r>
            <w:r w:rsidR="009114CC" w:rsidRPr="000A3441">
              <w:rPr>
                <w:rFonts w:ascii="Helvetica" w:hAnsi="Helvetica"/>
                <w:sz w:val="22"/>
                <w:szCs w:val="22"/>
              </w:rPr>
              <w:t>represent</w:t>
            </w:r>
            <w:r w:rsidR="00E53850" w:rsidRPr="000A3441">
              <w:rPr>
                <w:rFonts w:ascii="Helvetica" w:hAnsi="Helvetica"/>
                <w:sz w:val="22"/>
                <w:szCs w:val="22"/>
              </w:rPr>
              <w:t>ing</w:t>
            </w:r>
            <w:r w:rsidR="001C0961" w:rsidRPr="000A3441">
              <w:rPr>
                <w:rFonts w:ascii="Helvetica" w:hAnsi="Helvetica"/>
                <w:sz w:val="22"/>
                <w:szCs w:val="22"/>
              </w:rPr>
              <w:t xml:space="preserve"> the McMaster Students Union at university events</w:t>
            </w:r>
            <w:r w:rsidRPr="000A3441">
              <w:rPr>
                <w:rFonts w:ascii="Helvetica" w:hAnsi="Helvetica"/>
                <w:sz w:val="22"/>
                <w:szCs w:val="22"/>
              </w:rPr>
              <w:t>.</w:t>
            </w:r>
            <w:r w:rsidR="001C0961" w:rsidRPr="000A3441">
              <w:rPr>
                <w:rFonts w:ascii="Helvetica" w:hAnsi="Helvetica"/>
                <w:sz w:val="22"/>
                <w:szCs w:val="22"/>
              </w:rPr>
              <w:t xml:space="preserve"> In addition, Maroons Representatives </w:t>
            </w:r>
            <w:r w:rsidR="00620430" w:rsidRPr="000A3441">
              <w:rPr>
                <w:rFonts w:ascii="Helvetica" w:hAnsi="Helvetica"/>
                <w:sz w:val="22"/>
                <w:szCs w:val="22"/>
              </w:rPr>
              <w:t xml:space="preserve">will act as volunteers to McMaster Students Union services and businesses, as well as University groups, on an ad-hoc basis. </w:t>
            </w:r>
          </w:p>
        </w:tc>
      </w:tr>
    </w:tbl>
    <w:p w:rsidR="004B47C3" w:rsidRPr="000A3441" w:rsidRDefault="004B47C3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4B47C3" w:rsidRPr="000A3441" w:rsidTr="003870A9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0A3441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4B47C3" w:rsidRPr="000A3441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0A3441" w:rsidTr="003870A9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0A3441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4B47C3" w:rsidRPr="000A3441" w:rsidTr="000A3441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B47C3" w:rsidRPr="000A3441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B47C3" w:rsidRPr="000A3441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4B47C3" w:rsidRPr="000A3441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4B47C3" w:rsidRPr="000A3441" w:rsidTr="000A3441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47C3" w:rsidRPr="000A3441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C3" w:rsidRPr="000A3441" w:rsidRDefault="00D02BB5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100</w:t>
            </w:r>
            <w:r w:rsidR="000878DB" w:rsidRPr="000A3441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47C3" w:rsidRPr="000A3441" w:rsidRDefault="00D02BB5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Volunteer, participate and provide support at Maroons events throughout the year</w:t>
            </w:r>
          </w:p>
          <w:p w:rsidR="00973168" w:rsidRPr="000A3441" w:rsidRDefault="00973168" w:rsidP="0097316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Volunteer, participate and provide support at events hosted by MSU businesses, services and clubs on an ad-hoc basis</w:t>
            </w:r>
          </w:p>
          <w:p w:rsidR="00D02BB5" w:rsidRPr="000A3441" w:rsidRDefault="00D02BB5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 xml:space="preserve">Assist Campus Events, Shinerama, Athletics and Recreation, and other </w:t>
            </w:r>
            <w:r w:rsidR="00E53850" w:rsidRPr="000A3441">
              <w:rPr>
                <w:rFonts w:ascii="Helvetica" w:hAnsi="Helvetica"/>
                <w:sz w:val="22"/>
                <w:szCs w:val="22"/>
              </w:rPr>
              <w:t xml:space="preserve">University </w:t>
            </w:r>
            <w:r w:rsidRPr="000A3441">
              <w:rPr>
                <w:rFonts w:ascii="Helvetica" w:hAnsi="Helvetica"/>
                <w:sz w:val="22"/>
                <w:szCs w:val="22"/>
              </w:rPr>
              <w:t>partners during Welcome Week and throughout the year</w:t>
            </w:r>
          </w:p>
          <w:p w:rsidR="00D02BB5" w:rsidRPr="000A3441" w:rsidRDefault="00D02BB5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 xml:space="preserve">Follow directions from </w:t>
            </w:r>
            <w:r w:rsidR="00E53850" w:rsidRPr="000A3441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Pr="000A3441">
              <w:rPr>
                <w:rFonts w:ascii="Helvetica" w:hAnsi="Helvetica"/>
                <w:sz w:val="22"/>
                <w:szCs w:val="22"/>
              </w:rPr>
              <w:t>Maroons</w:t>
            </w:r>
            <w:r w:rsidR="00C67BAD">
              <w:rPr>
                <w:rFonts w:ascii="Helvetica" w:hAnsi="Helvetica"/>
                <w:sz w:val="22"/>
                <w:szCs w:val="22"/>
              </w:rPr>
              <w:t xml:space="preserve"> Leadership</w:t>
            </w:r>
            <w:r w:rsidRPr="000A344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E53850" w:rsidRPr="000A3441">
              <w:rPr>
                <w:rFonts w:ascii="Helvetica" w:hAnsi="Helvetica"/>
                <w:sz w:val="22"/>
                <w:szCs w:val="22"/>
              </w:rPr>
              <w:t xml:space="preserve">team </w:t>
            </w:r>
            <w:r w:rsidRPr="000A3441">
              <w:rPr>
                <w:rFonts w:ascii="Helvetica" w:hAnsi="Helvetica"/>
                <w:sz w:val="22"/>
                <w:szCs w:val="22"/>
              </w:rPr>
              <w:t>at events</w:t>
            </w:r>
          </w:p>
          <w:p w:rsidR="00D02BB5" w:rsidRPr="000A3441" w:rsidRDefault="00D02BB5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 xml:space="preserve">Follow the </w:t>
            </w:r>
            <w:r w:rsidR="00E53850" w:rsidRPr="000A3441">
              <w:rPr>
                <w:rFonts w:ascii="Helvetica" w:hAnsi="Helvetica"/>
                <w:sz w:val="22"/>
                <w:szCs w:val="22"/>
              </w:rPr>
              <w:t xml:space="preserve">rules and </w:t>
            </w:r>
            <w:r w:rsidRPr="000A3441">
              <w:rPr>
                <w:rFonts w:ascii="Helvetica" w:hAnsi="Helvetica"/>
                <w:sz w:val="22"/>
                <w:szCs w:val="22"/>
              </w:rPr>
              <w:t>conduct outlined within the Maroons Mandate</w:t>
            </w:r>
          </w:p>
          <w:p w:rsidR="005635C0" w:rsidRPr="000A3441" w:rsidRDefault="00F7420B" w:rsidP="004D28D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Attend and p</w:t>
            </w:r>
            <w:r w:rsidR="005635C0" w:rsidRPr="000A3441">
              <w:rPr>
                <w:rFonts w:ascii="Helvetica" w:hAnsi="Helvetica"/>
                <w:sz w:val="22"/>
                <w:szCs w:val="22"/>
              </w:rPr>
              <w:t xml:space="preserve">articipate in Maroons </w:t>
            </w:r>
            <w:r w:rsidR="004D28D7">
              <w:rPr>
                <w:rFonts w:ascii="Helvetica" w:hAnsi="Helvetica"/>
                <w:sz w:val="22"/>
                <w:szCs w:val="22"/>
              </w:rPr>
              <w:t>Feedback Session(s)</w:t>
            </w:r>
          </w:p>
        </w:tc>
      </w:tr>
    </w:tbl>
    <w:p w:rsidR="004B47C3" w:rsidRPr="000A3441" w:rsidRDefault="004B47C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0A3441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0A3441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4B47C3" w:rsidRPr="000A3441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47C3" w:rsidRPr="000A3441" w:rsidRDefault="00B56BC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Ability to work effectively within a group</w:t>
            </w:r>
          </w:p>
          <w:p w:rsidR="00B56BC0" w:rsidRPr="000A3441" w:rsidRDefault="00B56BC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Ability to follow instructions</w:t>
            </w:r>
          </w:p>
          <w:p w:rsidR="00B56BC0" w:rsidRPr="000A3441" w:rsidRDefault="00B56BC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Ability to adapt rapidly to change in high stress environments is an asset</w:t>
            </w:r>
          </w:p>
        </w:tc>
      </w:tr>
    </w:tbl>
    <w:p w:rsidR="004B47C3" w:rsidRPr="000A3441" w:rsidRDefault="004B47C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0A3441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0A3441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4B47C3" w:rsidRPr="000A3441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47C3" w:rsidRPr="000A3441" w:rsidRDefault="00F7420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Responsible for representing the McMaster Students Union at all events during the year</w:t>
            </w:r>
          </w:p>
        </w:tc>
      </w:tr>
    </w:tbl>
    <w:p w:rsidR="004B47C3" w:rsidRPr="000A3441" w:rsidRDefault="004B47C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0A3441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0A3441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lastRenderedPageBreak/>
              <w:t>Working Conditions</w:t>
            </w:r>
          </w:p>
        </w:tc>
      </w:tr>
      <w:tr w:rsidR="004B47C3" w:rsidRPr="000A3441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47C3" w:rsidRPr="000A3441" w:rsidRDefault="00B56BC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Time demands may exceed stated hours</w:t>
            </w:r>
          </w:p>
          <w:p w:rsidR="00B56BC0" w:rsidRPr="000A3441" w:rsidRDefault="00B56BC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>Heavy lifting may be required</w:t>
            </w:r>
          </w:p>
        </w:tc>
      </w:tr>
    </w:tbl>
    <w:p w:rsidR="004B47C3" w:rsidRPr="000A3441" w:rsidRDefault="004B47C3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4B47C3" w:rsidRPr="000A3441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B47C3" w:rsidRPr="000A3441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A3441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4B47C3" w:rsidRPr="000A3441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47C3" w:rsidRDefault="005635C0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 xml:space="preserve">Participation in Maroons </w:t>
            </w:r>
            <w:r w:rsidR="004D28D7">
              <w:rPr>
                <w:rFonts w:ascii="Helvetica" w:hAnsi="Helvetica"/>
                <w:sz w:val="22"/>
                <w:szCs w:val="22"/>
              </w:rPr>
              <w:t xml:space="preserve">Welcome Week </w:t>
            </w:r>
            <w:r w:rsidRPr="000A3441">
              <w:rPr>
                <w:rFonts w:ascii="Helvetica" w:hAnsi="Helvetica"/>
                <w:sz w:val="22"/>
                <w:szCs w:val="22"/>
              </w:rPr>
              <w:t>training (provided)</w:t>
            </w:r>
          </w:p>
          <w:p w:rsidR="004D28D7" w:rsidRPr="000A3441" w:rsidRDefault="004D28D7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Participation in Maroons Year Long Training (provided)</w:t>
            </w:r>
          </w:p>
          <w:p w:rsidR="00F7420B" w:rsidRPr="000A3441" w:rsidRDefault="00F7420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3441">
              <w:rPr>
                <w:rFonts w:ascii="Helvetica" w:hAnsi="Helvetica"/>
                <w:sz w:val="22"/>
                <w:szCs w:val="22"/>
              </w:rPr>
              <w:t xml:space="preserve">Participation in McMaster Welcome Week Training (provided) </w:t>
            </w:r>
          </w:p>
        </w:tc>
      </w:tr>
    </w:tbl>
    <w:p w:rsidR="004B47C3" w:rsidRPr="00061282" w:rsidRDefault="004B47C3" w:rsidP="000A3441">
      <w:pPr>
        <w:tabs>
          <w:tab w:val="left" w:pos="1755"/>
        </w:tabs>
        <w:rPr>
          <w:rFonts w:ascii="Helvetica" w:hAnsi="Helvetica"/>
        </w:rPr>
      </w:pPr>
    </w:p>
    <w:sectPr w:rsidR="004B47C3" w:rsidRPr="00061282" w:rsidSect="00AE4E17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41" w:rsidRDefault="00176341">
      <w:r>
        <w:separator/>
      </w:r>
    </w:p>
  </w:endnote>
  <w:endnote w:type="continuationSeparator" w:id="0">
    <w:p w:rsidR="00176341" w:rsidRDefault="0017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C3" w:rsidRPr="000A3441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0A3441">
      <w:rPr>
        <w:sz w:val="16"/>
      </w:rPr>
      <w:t xml:space="preserve">                                                                                                                             </w:t>
    </w:r>
    <w:r w:rsidRPr="000A3441">
      <w:rPr>
        <w:rFonts w:ascii="Helvetica" w:hAnsi="Helvetica"/>
        <w:sz w:val="16"/>
        <w:szCs w:val="16"/>
      </w:rPr>
      <w:t xml:space="preserve">Page </w:t>
    </w:r>
    <w:r w:rsidR="0047220F" w:rsidRPr="000A3441">
      <w:rPr>
        <w:rStyle w:val="PageNumber"/>
        <w:rFonts w:ascii="Helvetica" w:hAnsi="Helvetica"/>
        <w:sz w:val="16"/>
        <w:szCs w:val="16"/>
      </w:rPr>
      <w:fldChar w:fldCharType="begin"/>
    </w:r>
    <w:r w:rsidRPr="000A3441">
      <w:rPr>
        <w:rStyle w:val="PageNumber"/>
        <w:rFonts w:ascii="Helvetica" w:hAnsi="Helvetica"/>
        <w:sz w:val="16"/>
        <w:szCs w:val="16"/>
      </w:rPr>
      <w:instrText xml:space="preserve"> PAGE </w:instrText>
    </w:r>
    <w:r w:rsidR="0047220F" w:rsidRPr="000A3441">
      <w:rPr>
        <w:rStyle w:val="PageNumber"/>
        <w:rFonts w:ascii="Helvetica" w:hAnsi="Helvetica"/>
        <w:sz w:val="16"/>
        <w:szCs w:val="16"/>
      </w:rPr>
      <w:fldChar w:fldCharType="separate"/>
    </w:r>
    <w:r w:rsidR="00327F8A">
      <w:rPr>
        <w:rStyle w:val="PageNumber"/>
        <w:rFonts w:ascii="Helvetica" w:hAnsi="Helvetica"/>
        <w:noProof/>
        <w:sz w:val="16"/>
        <w:szCs w:val="16"/>
      </w:rPr>
      <w:t>2</w:t>
    </w:r>
    <w:r w:rsidR="0047220F" w:rsidRPr="000A3441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C3" w:rsidRPr="00061282" w:rsidRDefault="0047220F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327F8A">
      <w:rPr>
        <w:rFonts w:ascii="Helvetica" w:hAnsi="Helvetica"/>
        <w:noProof/>
        <w:sz w:val="16"/>
      </w:rPr>
      <w:t>P:\DEPARTS\ADMIN\Jess, Victoria, and Emma shared documents\Job Descriptions\2016-2017 JOB DESCRIPTIONS\Maroons\Maroons - Representative - updated Feb 2017.docx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</w:t>
    </w:r>
    <w:r w:rsidR="000A3441">
      <w:rPr>
        <w:sz w:val="16"/>
      </w:rPr>
      <w:tab/>
      <w:t xml:space="preserve">  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327F8A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4B47C3" w:rsidRDefault="004B47C3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4B47C3" w:rsidRPr="009E349A" w:rsidTr="00C67BAD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63594D" w:rsidP="00C67BAD">
          <w:pPr>
            <w:pStyle w:val="Footer"/>
            <w:rPr>
              <w:rFonts w:ascii="Helvetica" w:hAnsi="Helvetica" w:cs="Helvetica"/>
              <w:sz w:val="16"/>
            </w:rPr>
          </w:pPr>
          <w:r w:rsidRPr="009E349A">
            <w:rPr>
              <w:rFonts w:ascii="Helvetica" w:hAnsi="Helvetica" w:cs="Helvetica"/>
              <w:sz w:val="16"/>
            </w:rPr>
            <w:t>Approved EB 13-26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4B47C3" w:rsidP="00C67BAD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4B47C3" w:rsidP="00C67BAD">
          <w:pPr>
            <w:pStyle w:val="Footer"/>
            <w:rPr>
              <w:rFonts w:ascii="Helvetica" w:hAnsi="Helvetica" w:cs="Helvetica"/>
              <w:sz w:val="16"/>
            </w:rPr>
          </w:pPr>
        </w:p>
      </w:tc>
    </w:tr>
    <w:tr w:rsidR="004B47C3" w:rsidRPr="009E349A" w:rsidTr="00C67BAD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9E349A" w:rsidP="00C67BAD">
          <w:pPr>
            <w:pStyle w:val="Footer"/>
            <w:rPr>
              <w:rFonts w:ascii="Helvetica" w:hAnsi="Helvetica" w:cs="Helvetica"/>
              <w:sz w:val="16"/>
            </w:rPr>
          </w:pPr>
          <w:r w:rsidRPr="009E349A">
            <w:rPr>
              <w:rFonts w:ascii="Helvetica" w:hAnsi="Helvetica" w:cs="Helvetica"/>
              <w:sz w:val="16"/>
            </w:rPr>
            <w:t>Revised EB 15-25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4B47C3" w:rsidP="00C67BAD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4B47C3" w:rsidP="00C67BAD">
          <w:pPr>
            <w:pStyle w:val="Footer"/>
            <w:rPr>
              <w:rFonts w:ascii="Helvetica" w:hAnsi="Helvetica" w:cs="Helvetica"/>
              <w:sz w:val="16"/>
            </w:rPr>
          </w:pPr>
        </w:p>
      </w:tc>
    </w:tr>
    <w:tr w:rsidR="004B47C3" w:rsidRPr="009E349A" w:rsidTr="00C67BAD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C67BAD" w:rsidP="00C67BAD">
          <w:pPr>
            <w:pStyle w:val="Footer"/>
            <w:rPr>
              <w:rFonts w:ascii="Helvetica" w:hAnsi="Helvetica" w:cs="Helvetica"/>
              <w:sz w:val="16"/>
            </w:rPr>
          </w:pPr>
          <w:r>
            <w:rPr>
              <w:rFonts w:ascii="Helvetica" w:hAnsi="Helvetica" w:cs="Helvetica"/>
              <w:sz w:val="16"/>
            </w:rPr>
            <w:t>Revised EB 16-23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4B47C3" w:rsidP="00C67BAD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4B47C3" w:rsidP="00C67BAD">
          <w:pPr>
            <w:pStyle w:val="Footer"/>
            <w:rPr>
              <w:rFonts w:ascii="Helvetica" w:hAnsi="Helvetica" w:cs="Helvetica"/>
              <w:sz w:val="16"/>
            </w:rPr>
          </w:pPr>
        </w:p>
      </w:tc>
    </w:tr>
    <w:tr w:rsidR="004B47C3" w:rsidRPr="009E349A" w:rsidTr="00C67BAD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4B47C3" w:rsidP="00C67BAD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4B47C3" w:rsidP="00C67BAD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4B47C3" w:rsidP="00C67BAD">
          <w:pPr>
            <w:pStyle w:val="Footer"/>
            <w:rPr>
              <w:rFonts w:ascii="Helvetica" w:hAnsi="Helvetica" w:cs="Helvetica"/>
              <w:sz w:val="16"/>
            </w:rPr>
          </w:pPr>
        </w:p>
      </w:tc>
    </w:tr>
    <w:tr w:rsidR="004B47C3" w:rsidRPr="009E349A" w:rsidTr="00C67BAD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4B47C3" w:rsidP="00C67BAD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4B47C3" w:rsidP="00C67BAD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B47C3" w:rsidRPr="009E349A" w:rsidRDefault="004B47C3" w:rsidP="00C67BAD">
          <w:pPr>
            <w:pStyle w:val="Footer"/>
            <w:rPr>
              <w:rFonts w:ascii="Helvetica" w:hAnsi="Helvetica" w:cs="Helvetica"/>
              <w:sz w:val="16"/>
            </w:rPr>
          </w:pPr>
        </w:p>
      </w:tc>
    </w:tr>
  </w:tbl>
  <w:p w:rsidR="004B47C3" w:rsidRDefault="004B4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41" w:rsidRDefault="00176341">
      <w:r>
        <w:separator/>
      </w:r>
    </w:p>
  </w:footnote>
  <w:footnote w:type="continuationSeparator" w:id="0">
    <w:p w:rsidR="00176341" w:rsidRDefault="00176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C3" w:rsidRPr="000A3441" w:rsidRDefault="00651043">
    <w:pPr>
      <w:pStyle w:val="Header"/>
      <w:ind w:right="1"/>
      <w:jc w:val="right"/>
      <w:rPr>
        <w:rStyle w:val="PageNumber"/>
        <w:rFonts w:ascii="Helvetica" w:hAnsi="Helvetica"/>
      </w:rPr>
    </w:pPr>
    <w:r w:rsidRPr="000A3441">
      <w:rPr>
        <w:rStyle w:val="PageNumber"/>
        <w:rFonts w:ascii="Helvetica" w:hAnsi="Helvetica"/>
        <w:i/>
      </w:rPr>
      <w:t>Maroons Representative</w:t>
    </w:r>
    <w:r w:rsidR="000878DB" w:rsidRPr="000A3441">
      <w:rPr>
        <w:rStyle w:val="PageNumber"/>
        <w:rFonts w:ascii="Helvetica" w:hAnsi="Helvetica"/>
        <w:i/>
      </w:rPr>
      <w:t xml:space="preserve"> </w:t>
    </w:r>
    <w:r w:rsidR="000878DB" w:rsidRPr="000A3441">
      <w:rPr>
        <w:rStyle w:val="PageNumber"/>
        <w:rFonts w:ascii="Helvetica" w:hAnsi="Helvetica"/>
      </w:rPr>
      <w:t xml:space="preserve">Job Description </w:t>
    </w:r>
  </w:p>
  <w:p w:rsidR="004B47C3" w:rsidRDefault="004B47C3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22D98"/>
    <w:rsid w:val="00061282"/>
    <w:rsid w:val="000878DB"/>
    <w:rsid w:val="000A3441"/>
    <w:rsid w:val="00176341"/>
    <w:rsid w:val="001C0961"/>
    <w:rsid w:val="00327F8A"/>
    <w:rsid w:val="003870A9"/>
    <w:rsid w:val="0040421B"/>
    <w:rsid w:val="0047220F"/>
    <w:rsid w:val="004722CA"/>
    <w:rsid w:val="004A6CB8"/>
    <w:rsid w:val="004B47C3"/>
    <w:rsid w:val="004D28D7"/>
    <w:rsid w:val="004F3E8C"/>
    <w:rsid w:val="005635C0"/>
    <w:rsid w:val="00620430"/>
    <w:rsid w:val="00626058"/>
    <w:rsid w:val="0063594D"/>
    <w:rsid w:val="00651043"/>
    <w:rsid w:val="006D5428"/>
    <w:rsid w:val="00747C2A"/>
    <w:rsid w:val="00875ED5"/>
    <w:rsid w:val="009114CC"/>
    <w:rsid w:val="00952798"/>
    <w:rsid w:val="00973168"/>
    <w:rsid w:val="009E349A"/>
    <w:rsid w:val="00AE1630"/>
    <w:rsid w:val="00AE4E17"/>
    <w:rsid w:val="00B328EF"/>
    <w:rsid w:val="00B56BC0"/>
    <w:rsid w:val="00C46696"/>
    <w:rsid w:val="00C67BAD"/>
    <w:rsid w:val="00C76B4A"/>
    <w:rsid w:val="00CB2DC8"/>
    <w:rsid w:val="00D02BB5"/>
    <w:rsid w:val="00E53850"/>
    <w:rsid w:val="00F7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1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E4E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4E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E4E17"/>
  </w:style>
  <w:style w:type="paragraph" w:styleId="BalloonText">
    <w:name w:val="Balloon Text"/>
    <w:basedOn w:val="Normal"/>
    <w:link w:val="BalloonTextChar"/>
    <w:uiPriority w:val="99"/>
    <w:semiHidden/>
    <w:unhideWhenUsed/>
    <w:rsid w:val="001C0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6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C0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6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34EC-93EA-4A7B-B869-53B2E4F9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4</cp:revision>
  <dcterms:created xsi:type="dcterms:W3CDTF">2017-02-24T15:42:00Z</dcterms:created>
  <dcterms:modified xsi:type="dcterms:W3CDTF">2017-02-24T15:42:00Z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