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606"/>
        <w:gridCol w:w="6754"/>
      </w:tblGrid>
      <w:tr w:rsidR="5F530250" w14:paraId="2899B3FB" w14:textId="77777777" w:rsidTr="5F530250">
        <w:trPr>
          <w:trHeight w:val="2430"/>
        </w:trPr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8D922" w14:textId="2429D72C" w:rsidR="5F530250" w:rsidRDefault="5F530250" w:rsidP="5F530250">
            <w:pPr>
              <w:rPr>
                <w:rFonts w:ascii="Calibri" w:eastAsia="Calibri" w:hAnsi="Calibri" w:cs="Calibri"/>
              </w:rPr>
            </w:pPr>
            <w:r w:rsidRPr="5F530250"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noProof/>
              </w:rPr>
              <w:drawing>
                <wp:inline distT="0" distB="0" distL="0" distR="0" wp14:anchorId="0AB56EF4" wp14:editId="1D604E93">
                  <wp:extent cx="1771650" cy="1133475"/>
                  <wp:effectExtent l="0" t="0" r="0" b="0"/>
                  <wp:docPr id="2147009904" name="Picture 2147009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54CB8E" w14:textId="3A98F7BA" w:rsidR="5F530250" w:rsidRDefault="00C32A6C" w:rsidP="5F530250">
            <w:pPr>
              <w:jc w:val="center"/>
              <w:rPr>
                <w:rFonts w:ascii="Calibri" w:eastAsia="Calibri" w:hAnsi="Calibri" w:cs="Calibri"/>
                <w:sz w:val="70"/>
                <w:szCs w:val="70"/>
              </w:rPr>
            </w:pPr>
            <w:r>
              <w:rPr>
                <w:rFonts w:ascii="Calibri" w:eastAsia="Calibri" w:hAnsi="Calibri" w:cs="Calibri"/>
                <w:b/>
                <w:bCs/>
                <w:sz w:val="70"/>
                <w:szCs w:val="70"/>
              </w:rPr>
              <w:t>Memo</w:t>
            </w:r>
          </w:p>
          <w:p w14:paraId="523304FA" w14:textId="1AAD0A57" w:rsidR="5F530250" w:rsidRDefault="5F530250" w:rsidP="5F530250">
            <w:pPr>
              <w:pStyle w:val="Heading3"/>
              <w:rPr>
                <w:rFonts w:ascii="Times New Roman" w:eastAsia="Times New Roman" w:hAnsi="Times New Roman" w:cs="Times New Roman"/>
                <w:color w:val="1F3763"/>
              </w:rPr>
            </w:pPr>
            <w:r w:rsidRPr="5F530250">
              <w:rPr>
                <w:rFonts w:ascii="Times New Roman" w:eastAsia="Times New Roman" w:hAnsi="Times New Roman" w:cs="Times New Roman"/>
                <w:i/>
                <w:iCs/>
                <w:color w:val="1F3763"/>
              </w:rPr>
              <w:t xml:space="preserve"> </w:t>
            </w:r>
          </w:p>
          <w:p w14:paraId="0FF0CBE8" w14:textId="29FD71B5" w:rsidR="5F530250" w:rsidRDefault="5F530250" w:rsidP="5F530250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From the…</w:t>
            </w:r>
          </w:p>
          <w:p w14:paraId="1EE80B88" w14:textId="5EAF15ED" w:rsidR="5F530250" w:rsidRDefault="5F530250" w:rsidP="5F530250">
            <w:pPr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5F530250"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>Office of the Vice-President (Finance)</w:t>
            </w:r>
          </w:p>
        </w:tc>
      </w:tr>
      <w:tr w:rsidR="5F530250" w14:paraId="450E0ACA" w14:textId="77777777" w:rsidTr="5F530250">
        <w:trPr>
          <w:trHeight w:val="315"/>
        </w:trPr>
        <w:tc>
          <w:tcPr>
            <w:tcW w:w="2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FE2A4" w14:textId="1007C520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TO:</w:t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B104E2" w14:textId="161A7D5E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Student Representative Assembly</w:t>
            </w:r>
          </w:p>
        </w:tc>
      </w:tr>
      <w:tr w:rsidR="5F530250" w14:paraId="580E386B" w14:textId="77777777" w:rsidTr="5F530250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5932C6B" w14:textId="7A0EDAB4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FROM: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14:paraId="2F9D0CD8" w14:textId="500C18A5" w:rsidR="5F530250" w:rsidRDefault="5F530250" w:rsidP="5F530250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Jess Anderson, Vice-President (Finance)</w:t>
            </w:r>
          </w:p>
        </w:tc>
      </w:tr>
      <w:tr w:rsidR="5F530250" w14:paraId="1E130C06" w14:textId="77777777" w:rsidTr="5F530250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2C49A4B8" w14:textId="7D0CF535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SUBJECT: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14:paraId="1E03F9EF" w14:textId="7FF66746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 xml:space="preserve">CFMU Operating Policy </w:t>
            </w:r>
            <w:r w:rsidR="621C9875" w:rsidRPr="5F530250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67E9E8D8" w:rsidRPr="5F530250">
              <w:rPr>
                <w:rFonts w:ascii="Calibri" w:eastAsia="Calibri" w:hAnsi="Calibri" w:cs="Calibri"/>
                <w:sz w:val="24"/>
                <w:szCs w:val="24"/>
              </w:rPr>
              <w:t xml:space="preserve"> - The Silhouette Board of Publication</w:t>
            </w:r>
            <w:r w:rsidRPr="5F530250">
              <w:rPr>
                <w:rFonts w:ascii="Calibri" w:eastAsia="Calibri" w:hAnsi="Calibri" w:cs="Calibri"/>
                <w:sz w:val="24"/>
                <w:szCs w:val="24"/>
              </w:rPr>
              <w:t xml:space="preserve"> Creation</w:t>
            </w:r>
          </w:p>
        </w:tc>
      </w:tr>
      <w:tr w:rsidR="5F530250" w14:paraId="6F27C852" w14:textId="77777777" w:rsidTr="5F530250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8E6DA" w14:textId="3425EEB0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B745B2" w14:textId="1D55F648" w:rsidR="5F530250" w:rsidRDefault="5F530250" w:rsidP="5F53025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530250">
              <w:rPr>
                <w:rFonts w:ascii="Calibri" w:eastAsia="Calibri" w:hAnsi="Calibri" w:cs="Calibri"/>
                <w:sz w:val="24"/>
                <w:szCs w:val="24"/>
              </w:rPr>
              <w:t>March 21</w:t>
            </w:r>
            <w:r w:rsidRPr="5F53025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5F530250">
              <w:rPr>
                <w:rFonts w:ascii="Calibri" w:eastAsia="Calibri" w:hAnsi="Calibri" w:cs="Calibri"/>
                <w:sz w:val="24"/>
                <w:szCs w:val="24"/>
              </w:rPr>
              <w:t xml:space="preserve"> 2021</w:t>
            </w:r>
          </w:p>
        </w:tc>
      </w:tr>
    </w:tbl>
    <w:p w14:paraId="410D3B26" w14:textId="67758B46" w:rsidR="00652A8E" w:rsidRDefault="00652A8E" w:rsidP="5F53025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13C4E8" w14:textId="61E9CA68" w:rsidR="00652A8E" w:rsidRDefault="284AA96B" w:rsidP="5F53025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530250">
        <w:rPr>
          <w:rFonts w:ascii="Calibri" w:eastAsia="Calibri" w:hAnsi="Calibri" w:cs="Calibri"/>
          <w:color w:val="000000" w:themeColor="text1"/>
          <w:sz w:val="24"/>
          <w:szCs w:val="24"/>
        </w:rPr>
        <w:t>Dear members of the assembly,</w:t>
      </w:r>
    </w:p>
    <w:p w14:paraId="4D908B55" w14:textId="2677B387" w:rsidR="00652A8E" w:rsidRDefault="097385D6" w:rsidP="5F530250">
      <w:pPr>
        <w:rPr>
          <w:rFonts w:ascii="Calibri" w:eastAsia="Calibri" w:hAnsi="Calibri" w:cs="Calibri"/>
          <w:color w:val="000000" w:themeColor="text1"/>
        </w:rPr>
      </w:pPr>
      <w:r w:rsidRPr="5F530250">
        <w:rPr>
          <w:rFonts w:ascii="Calibri" w:eastAsia="Calibri" w:hAnsi="Calibri" w:cs="Calibri"/>
          <w:color w:val="000000" w:themeColor="text1"/>
        </w:rPr>
        <w:t xml:space="preserve">Operating Policy – The Silhouette Board of Publication will now fall under CFMU with this change. There will not be any major changes to the operating policy, </w:t>
      </w:r>
      <w:r w:rsidR="2EAA6625" w:rsidRPr="5F530250">
        <w:rPr>
          <w:rFonts w:ascii="Calibri" w:eastAsia="Calibri" w:hAnsi="Calibri" w:cs="Calibri"/>
          <w:color w:val="000000" w:themeColor="text1"/>
        </w:rPr>
        <w:t>but there are some minor adjustments. Those adjustments are outlined below:</w:t>
      </w:r>
    </w:p>
    <w:p w14:paraId="2C078E63" w14:textId="0F1D1F4F" w:rsidR="00652A8E" w:rsidRDefault="20CB3760" w:rsidP="5F530250">
      <w:r>
        <w:t>Those minor changes are outlined below:</w:t>
      </w:r>
    </w:p>
    <w:p w14:paraId="31295041" w14:textId="416E801D" w:rsidR="20CB3760" w:rsidRDefault="20CB3760" w:rsidP="5F53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Section 1 – Purpose</w:t>
      </w:r>
    </w:p>
    <w:p w14:paraId="0FF57673" w14:textId="3C66D078" w:rsidR="20CB3760" w:rsidRDefault="20CB3760" w:rsidP="5F530250">
      <w:pPr>
        <w:pStyle w:val="ListParagraph"/>
        <w:numPr>
          <w:ilvl w:val="1"/>
          <w:numId w:val="1"/>
        </w:numPr>
      </w:pPr>
      <w:r>
        <w:t>Amendment from MSUC Inc to CFMU Inc</w:t>
      </w:r>
    </w:p>
    <w:p w14:paraId="2E47EEB5" w14:textId="283A5EA4" w:rsidR="20CB3760" w:rsidRDefault="20CB3760" w:rsidP="5F530250">
      <w:pPr>
        <w:pStyle w:val="ListParagraph"/>
        <w:numPr>
          <w:ilvl w:val="0"/>
          <w:numId w:val="1"/>
        </w:numPr>
      </w:pPr>
      <w:r>
        <w:t>Section 2 – Membership</w:t>
      </w:r>
    </w:p>
    <w:p w14:paraId="48FCFD82" w14:textId="28740E43" w:rsidR="52842231" w:rsidRDefault="52842231" w:rsidP="5F530250">
      <w:pPr>
        <w:pStyle w:val="ListParagraph"/>
        <w:numPr>
          <w:ilvl w:val="1"/>
          <w:numId w:val="1"/>
        </w:numPr>
      </w:pPr>
      <w:r>
        <w:t>This section now reflects the appropriate and relevant members from the Silhouette and CFMU who would now sit on the Silhouette Board of Publication.</w:t>
      </w:r>
    </w:p>
    <w:p w14:paraId="17FE3CDA" w14:textId="5327FBBF" w:rsidR="52842231" w:rsidRDefault="52842231" w:rsidP="5F530250">
      <w:pPr>
        <w:pStyle w:val="ListParagraph"/>
        <w:numPr>
          <w:ilvl w:val="0"/>
          <w:numId w:val="1"/>
        </w:numPr>
      </w:pPr>
      <w:r>
        <w:t>Section 3 – Duties of the Board</w:t>
      </w:r>
    </w:p>
    <w:p w14:paraId="24C2E4E7" w14:textId="7F7D3806" w:rsidR="1D03395F" w:rsidRDefault="1D03395F" w:rsidP="5F530250">
      <w:pPr>
        <w:pStyle w:val="ListParagraph"/>
        <w:numPr>
          <w:ilvl w:val="1"/>
          <w:numId w:val="1"/>
        </w:numPr>
      </w:pPr>
      <w:r>
        <w:t xml:space="preserve">Addition of the new media platforms falling under the Silhouette Board of Publications </w:t>
      </w:r>
      <w:r w:rsidR="67F11936">
        <w:t xml:space="preserve">purview for advertising content management. </w:t>
      </w:r>
    </w:p>
    <w:p w14:paraId="46358EEC" w14:textId="44D49F13" w:rsidR="2695FE68" w:rsidRDefault="2695FE68" w:rsidP="5F530250">
      <w:r>
        <w:t>Thank you,</w:t>
      </w:r>
    </w:p>
    <w:p w14:paraId="321CEE26" w14:textId="11C53A3F" w:rsidR="5F530250" w:rsidRDefault="5F530250" w:rsidP="5F530250"/>
    <w:p w14:paraId="5100DA72" w14:textId="05F55FC9" w:rsidR="5F530250" w:rsidRDefault="5F530250" w:rsidP="5F530250"/>
    <w:p w14:paraId="3BE80F6A" w14:textId="4E94321A" w:rsidR="2695FE68" w:rsidRDefault="2695FE68" w:rsidP="5F530250">
      <w:r>
        <w:t>Jess Anderson</w:t>
      </w:r>
    </w:p>
    <w:sectPr w:rsidR="2695F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1EAF"/>
    <w:multiLevelType w:val="hybridMultilevel"/>
    <w:tmpl w:val="C4B84B28"/>
    <w:lvl w:ilvl="0" w:tplc="A5CE6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2A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A1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EB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E3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3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E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8E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32C0"/>
    <w:rsid w:val="00652A8E"/>
    <w:rsid w:val="00C32A6C"/>
    <w:rsid w:val="097385D6"/>
    <w:rsid w:val="0FCFE85D"/>
    <w:rsid w:val="13E66D5E"/>
    <w:rsid w:val="1C4D6254"/>
    <w:rsid w:val="1D03395F"/>
    <w:rsid w:val="20CB3760"/>
    <w:rsid w:val="2695FE68"/>
    <w:rsid w:val="284AA96B"/>
    <w:rsid w:val="2EAA6625"/>
    <w:rsid w:val="3FE7F087"/>
    <w:rsid w:val="402BB886"/>
    <w:rsid w:val="4183C0E8"/>
    <w:rsid w:val="52842231"/>
    <w:rsid w:val="55AC200A"/>
    <w:rsid w:val="59F0AC1C"/>
    <w:rsid w:val="5C1B618E"/>
    <w:rsid w:val="5F530250"/>
    <w:rsid w:val="621C9875"/>
    <w:rsid w:val="67E9E8D8"/>
    <w:rsid w:val="67F11936"/>
    <w:rsid w:val="72A8B462"/>
    <w:rsid w:val="7F8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32C0"/>
  <w15:chartTrackingRefBased/>
  <w15:docId w15:val="{8F5D8A17-61AB-448A-9101-08DF026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Finance, Jessica Anderson</dc:creator>
  <cp:keywords/>
  <dc:description/>
  <cp:lastModifiedBy>VP Finance, Jessica Anderson</cp:lastModifiedBy>
  <cp:revision>2</cp:revision>
  <dcterms:created xsi:type="dcterms:W3CDTF">2021-03-16T01:49:00Z</dcterms:created>
  <dcterms:modified xsi:type="dcterms:W3CDTF">2021-03-16T15:46:00Z</dcterms:modified>
</cp:coreProperties>
</file>