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W w:w="0" w:type="auto"/>
        <w:tblInd w:w="135" w:type="dxa"/>
        <w:tblLayout w:type="fixed"/>
        <w:tblLook w:val="06A0" w:firstRow="1" w:lastRow="0" w:firstColumn="1" w:lastColumn="0" w:noHBand="1" w:noVBand="1"/>
      </w:tblPr>
      <w:tblGrid>
        <w:gridCol w:w="2606"/>
        <w:gridCol w:w="6754"/>
      </w:tblGrid>
      <w:tr w:rsidR="5FBCCA45" w:rsidTr="075F7B3C" w14:paraId="13EA67AD" w14:textId="77777777">
        <w:trPr>
          <w:trHeight w:val="2430"/>
        </w:trPr>
        <w:tc>
          <w:tcPr>
            <w:tcW w:w="2606" w:type="dxa"/>
            <w:tcBorders>
              <w:top w:val="nil"/>
              <w:left w:val="nil"/>
              <w:bottom w:val="single" w:color="auto" w:sz="8" w:space="0"/>
              <w:right w:val="nil"/>
            </w:tcBorders>
            <w:tcMar/>
          </w:tcPr>
          <w:p w:rsidR="5FBCCA45" w:rsidP="5FBCCA45" w:rsidRDefault="5FBCCA45" w14:paraId="5368F814" w14:textId="7C300A01">
            <w:r w:rsidRPr="075F7B3C" w:rsidR="5FBCCA45">
              <w:rPr>
                <w:rFonts w:ascii="Calibri" w:hAnsi="Calibri" w:eastAsia="Calibri" w:cs="Calibri"/>
                <w:sz w:val="12"/>
                <w:szCs w:val="12"/>
              </w:rPr>
              <w:t>.</w:t>
            </w:r>
            <w:r w:rsidR="3D748103">
              <w:drawing>
                <wp:inline wp14:editId="075F7B3C" wp14:anchorId="4E0D5EE4">
                  <wp:extent cx="1785071" cy="1140835"/>
                  <wp:effectExtent l="0" t="0" r="0" b="0"/>
                  <wp:docPr id="748956520" name="Picture 748956520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748956520"/>
                          <pic:cNvPicPr/>
                        </pic:nvPicPr>
                        <pic:blipFill>
                          <a:blip r:embed="R62d12d78d62b451d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785071" cy="1140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4" w:type="dxa"/>
            <w:tcBorders>
              <w:top w:val="nil"/>
              <w:left w:val="nil"/>
              <w:bottom w:val="single" w:color="auto" w:sz="8" w:space="0"/>
              <w:right w:val="nil"/>
            </w:tcBorders>
            <w:tcMar/>
          </w:tcPr>
          <w:p w:rsidR="5FBCCA45" w:rsidP="5FBCCA45" w:rsidRDefault="5FBCCA45" w14:paraId="6C37550D" w14:textId="0E79466C">
            <w:pPr>
              <w:jc w:val="center"/>
            </w:pPr>
            <w:r w:rsidRPr="075F7B3C" w:rsidR="738FAACA">
              <w:rPr>
                <w:rFonts w:ascii="Calibri" w:hAnsi="Calibri" w:eastAsia="Calibri" w:cs="Calibri"/>
                <w:b w:val="1"/>
                <w:bCs w:val="1"/>
                <w:sz w:val="70"/>
                <w:szCs w:val="70"/>
              </w:rPr>
              <w:t>Memo</w:t>
            </w:r>
          </w:p>
          <w:p w:rsidR="5FBCCA45" w:rsidP="5FBCCA45" w:rsidRDefault="5FBCCA45" w14:paraId="7385213D" w14:textId="0AFDE5F8">
            <w:pPr>
              <w:pStyle w:val="Heading3"/>
            </w:pPr>
            <w:r w:rsidRPr="075F7B3C" w:rsidR="5FBCCA4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</w:t>
            </w:r>
          </w:p>
          <w:p w:rsidR="5FBCCA45" w:rsidP="5FBCCA45" w:rsidRDefault="5FBCCA45" w14:paraId="4CFF7F46" w14:textId="25998734">
            <w:pPr>
              <w:jc w:val="right"/>
            </w:pPr>
            <w:r w:rsidRPr="075F7B3C" w:rsidR="5FBCCA45">
              <w:rPr>
                <w:rFonts w:ascii="Calibri" w:hAnsi="Calibri" w:eastAsia="Calibri" w:cs="Calibri"/>
                <w:i w:val="1"/>
                <w:iCs w:val="1"/>
                <w:sz w:val="24"/>
                <w:szCs w:val="24"/>
              </w:rPr>
              <w:t>From the…</w:t>
            </w:r>
          </w:p>
          <w:p w:rsidR="5FBCCA45" w:rsidP="5FBCCA45" w:rsidRDefault="5FBCCA45" w14:paraId="0CC46858" w14:textId="6F140874">
            <w:pPr>
              <w:jc w:val="center"/>
            </w:pPr>
            <w:r w:rsidRPr="075F7B3C" w:rsidR="5FBCCA45">
              <w:rPr>
                <w:rFonts w:ascii="Calibri" w:hAnsi="Calibri" w:eastAsia="Calibri" w:cs="Calibri"/>
                <w:b w:val="1"/>
                <w:bCs w:val="1"/>
                <w:sz w:val="44"/>
                <w:szCs w:val="44"/>
              </w:rPr>
              <w:t>Office of the</w:t>
            </w:r>
            <w:r w:rsidRPr="075F7B3C" w:rsidR="182F8509">
              <w:rPr>
                <w:rFonts w:ascii="Calibri" w:hAnsi="Calibri" w:eastAsia="Calibri" w:cs="Calibri"/>
                <w:b w:val="1"/>
                <w:bCs w:val="1"/>
                <w:sz w:val="44"/>
                <w:szCs w:val="44"/>
              </w:rPr>
              <w:t xml:space="preserve"> Vice-President (Finance)</w:t>
            </w:r>
          </w:p>
        </w:tc>
      </w:tr>
      <w:tr w:rsidR="5FBCCA45" w:rsidTr="075F7B3C" w14:paraId="10D045FE" w14:textId="77777777">
        <w:trPr>
          <w:trHeight w:val="315"/>
        </w:trPr>
        <w:tc>
          <w:tcPr>
            <w:tcW w:w="2606" w:type="dxa"/>
            <w:tcBorders>
              <w:top w:val="single" w:color="auto" w:sz="8" w:space="0"/>
              <w:left w:val="nil"/>
              <w:bottom w:val="nil"/>
              <w:right w:val="nil"/>
            </w:tcBorders>
            <w:tcMar/>
          </w:tcPr>
          <w:p w:rsidR="5FBCCA45" w:rsidRDefault="5FBCCA45" w14:paraId="0355714B" w14:textId="302515C7">
            <w:r w:rsidRPr="075F7B3C" w:rsidR="5FBCCA45">
              <w:rPr>
                <w:rFonts w:ascii="Calibri" w:hAnsi="Calibri" w:eastAsia="Calibri" w:cs="Calibri"/>
                <w:sz w:val="24"/>
                <w:szCs w:val="24"/>
              </w:rPr>
              <w:t>TO:</w:t>
            </w:r>
          </w:p>
        </w:tc>
        <w:tc>
          <w:tcPr>
            <w:tcW w:w="6754" w:type="dxa"/>
            <w:tcBorders>
              <w:top w:val="single" w:color="auto" w:sz="8" w:space="0"/>
              <w:left w:val="nil"/>
              <w:bottom w:val="nil"/>
              <w:right w:val="nil"/>
            </w:tcBorders>
            <w:tcMar/>
          </w:tcPr>
          <w:p w:rsidR="5FBCCA45" w:rsidRDefault="5FBCCA45" w14:paraId="0328B8E1" w14:textId="36717AEE">
            <w:r w:rsidRPr="075F7B3C" w:rsidR="5FBCCA45">
              <w:rPr>
                <w:rFonts w:ascii="Calibri" w:hAnsi="Calibri" w:eastAsia="Calibri" w:cs="Calibri"/>
                <w:sz w:val="24"/>
                <w:szCs w:val="24"/>
              </w:rPr>
              <w:t>Student Representative Assembly</w:t>
            </w:r>
          </w:p>
        </w:tc>
      </w:tr>
      <w:tr w:rsidR="5FBCCA45" w:rsidTr="075F7B3C" w14:paraId="56160FAA" w14:textId="77777777">
        <w:trPr>
          <w:trHeight w:val="345"/>
        </w:trPr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5FBCCA45" w:rsidRDefault="5FBCCA45" w14:paraId="5A2B5D6E" w14:textId="77F965D5">
            <w:r w:rsidRPr="075F7B3C" w:rsidR="5FBCCA45">
              <w:rPr>
                <w:rFonts w:ascii="Calibri" w:hAnsi="Calibri" w:eastAsia="Calibri" w:cs="Calibri"/>
                <w:sz w:val="24"/>
                <w:szCs w:val="24"/>
              </w:rPr>
              <w:t>FROM:</w:t>
            </w:r>
          </w:p>
        </w:tc>
        <w:tc>
          <w:tcPr>
            <w:tcW w:w="6754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1CC6F39C" w:rsidP="5FBCCA45" w:rsidRDefault="1CC6F39C" w14:paraId="635B4CA9" w14:textId="5147FBDB">
            <w:pPr>
              <w:spacing w:line="257" w:lineRule="exact"/>
            </w:pPr>
            <w:r w:rsidRPr="075F7B3C" w:rsidR="25C0EACF">
              <w:rPr>
                <w:rFonts w:ascii="Calibri" w:hAnsi="Calibri" w:eastAsia="Calibri" w:cs="Calibri"/>
                <w:sz w:val="24"/>
                <w:szCs w:val="24"/>
              </w:rPr>
              <w:t>Jess Anderson, Vice-President (Finance)</w:t>
            </w:r>
          </w:p>
        </w:tc>
      </w:tr>
      <w:tr w:rsidR="5FBCCA45" w:rsidTr="075F7B3C" w14:paraId="5A7D2439" w14:textId="77777777">
        <w:trPr>
          <w:trHeight w:val="345"/>
        </w:trPr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5FBCCA45" w:rsidRDefault="5FBCCA45" w14:paraId="300BE2EE" w14:textId="5C4C06AB">
            <w:r w:rsidRPr="075F7B3C" w:rsidR="5FBCCA45">
              <w:rPr>
                <w:rFonts w:ascii="Calibri" w:hAnsi="Calibri" w:eastAsia="Calibri" w:cs="Calibri"/>
                <w:sz w:val="24"/>
                <w:szCs w:val="24"/>
              </w:rPr>
              <w:t>SUBJECT:</w:t>
            </w:r>
          </w:p>
        </w:tc>
        <w:tc>
          <w:tcPr>
            <w:tcW w:w="6754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3D7FFBAC" w:rsidP="5FBCCA45" w:rsidRDefault="3D7FFBAC" w14:paraId="22229ECF" w14:textId="09F421A3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075F7B3C" w:rsidR="077725B5">
              <w:rPr>
                <w:rFonts w:ascii="Calibri" w:hAnsi="Calibri" w:eastAsia="Calibri" w:cs="Calibri"/>
                <w:sz w:val="24"/>
                <w:szCs w:val="24"/>
              </w:rPr>
              <w:t>CFMU Bylaw 2 Amendments</w:t>
            </w:r>
          </w:p>
        </w:tc>
      </w:tr>
      <w:tr w:rsidR="5FBCCA45" w:rsidTr="075F7B3C" w14:paraId="2E40C444" w14:textId="77777777">
        <w:trPr>
          <w:trHeight w:val="345"/>
        </w:trPr>
        <w:tc>
          <w:tcPr>
            <w:tcW w:w="2606" w:type="dxa"/>
            <w:tcBorders>
              <w:top w:val="nil"/>
              <w:left w:val="nil"/>
              <w:bottom w:val="single" w:color="auto" w:sz="8" w:space="0"/>
              <w:right w:val="nil"/>
            </w:tcBorders>
            <w:tcMar/>
          </w:tcPr>
          <w:p w:rsidR="5FBCCA45" w:rsidRDefault="5FBCCA45" w14:paraId="73128B9D" w14:textId="45413C8C">
            <w:r w:rsidRPr="075F7B3C" w:rsidR="5FBCCA45">
              <w:rPr>
                <w:rFonts w:ascii="Calibri" w:hAnsi="Calibri" w:eastAsia="Calibri" w:cs="Calibri"/>
                <w:sz w:val="24"/>
                <w:szCs w:val="24"/>
              </w:rPr>
              <w:t>DATE:</w:t>
            </w:r>
          </w:p>
        </w:tc>
        <w:tc>
          <w:tcPr>
            <w:tcW w:w="6754" w:type="dxa"/>
            <w:tcBorders>
              <w:top w:val="nil"/>
              <w:left w:val="nil"/>
              <w:bottom w:val="single" w:color="auto" w:sz="8" w:space="0"/>
              <w:right w:val="nil"/>
            </w:tcBorders>
            <w:tcMar/>
          </w:tcPr>
          <w:p w:rsidR="5FBCCA45" w:rsidRDefault="5FBCCA45" w14:paraId="2B72F8F4" w14:textId="6E2D748F">
            <w:r w:rsidRPr="075F7B3C" w:rsidR="5FBCCA45">
              <w:rPr>
                <w:rFonts w:ascii="Calibri" w:hAnsi="Calibri" w:eastAsia="Calibri" w:cs="Calibri"/>
                <w:sz w:val="24"/>
                <w:szCs w:val="24"/>
              </w:rPr>
              <w:t>March 21</w:t>
            </w:r>
            <w:r w:rsidRPr="075F7B3C" w:rsidR="5FBCCA45">
              <w:rPr>
                <w:rFonts w:ascii="Calibri" w:hAnsi="Calibri" w:eastAsia="Calibri" w:cs="Calibri"/>
                <w:sz w:val="24"/>
                <w:szCs w:val="24"/>
                <w:vertAlign w:val="superscript"/>
              </w:rPr>
              <w:t>st</w:t>
            </w:r>
            <w:r w:rsidRPr="075F7B3C" w:rsidR="5FBCCA45">
              <w:rPr>
                <w:rFonts w:ascii="Calibri" w:hAnsi="Calibri" w:eastAsia="Calibri" w:cs="Calibri"/>
                <w:sz w:val="24"/>
                <w:szCs w:val="24"/>
              </w:rPr>
              <w:t xml:space="preserve"> 2021</w:t>
            </w:r>
          </w:p>
        </w:tc>
      </w:tr>
    </w:tbl>
    <w:p w:rsidR="00DC1450" w:rsidP="5FBCCA45" w:rsidRDefault="00DC1450" w14:paraId="61CE82F3" w14:textId="16452B1F">
      <w:pPr>
        <w:rPr>
          <w:rFonts w:ascii="Calibri" w:hAnsi="Calibri" w:eastAsia="Calibri" w:cs="Calibri"/>
          <w:sz w:val="24"/>
          <w:szCs w:val="24"/>
        </w:rPr>
      </w:pPr>
    </w:p>
    <w:p w:rsidR="00DC1450" w:rsidRDefault="17AF5501" w14:paraId="10247D73" w14:textId="77849850">
      <w:r w:rsidRPr="075F7B3C" w:rsidR="17AF5501">
        <w:rPr>
          <w:rFonts w:ascii="Calibri" w:hAnsi="Calibri" w:eastAsia="Calibri" w:cs="Calibri"/>
          <w:sz w:val="24"/>
          <w:szCs w:val="24"/>
        </w:rPr>
        <w:t>Dear members of the assembly,</w:t>
      </w:r>
    </w:p>
    <w:p w:rsidR="2459CC1F" w:rsidP="075F7B3C" w:rsidRDefault="2459CC1F" w14:paraId="3FEE0803" w14:textId="42D2FC40">
      <w:pPr>
        <w:pStyle w:val="Normal"/>
      </w:pPr>
      <w:r w:rsidR="2459CC1F">
        <w:rPr/>
        <w:t xml:space="preserve">CFMU Bylaw 2 - Operations outlines the operating parameters of CFMU. Along with the other changes being made during this meeting, it is important that </w:t>
      </w:r>
      <w:r w:rsidR="10640208">
        <w:rPr/>
        <w:t>the</w:t>
      </w:r>
      <w:r w:rsidR="2459CC1F">
        <w:rPr/>
        <w:t xml:space="preserve"> operating parameters of C</w:t>
      </w:r>
      <w:r w:rsidR="0A2EC70B">
        <w:rPr/>
        <w:t>FMU reflect the integration of the Silhouette</w:t>
      </w:r>
      <w:r w:rsidR="0CBAD19F">
        <w:rPr/>
        <w:t xml:space="preserve"> into its operations</w:t>
      </w:r>
      <w:r w:rsidR="0A2EC70B">
        <w:rPr/>
        <w:t xml:space="preserve">. </w:t>
      </w:r>
      <w:r w:rsidR="284898F9">
        <w:rPr/>
        <w:t>It is for that reason that the following major changes to CFMY Bylaw 2 – Operations are being made:</w:t>
      </w:r>
    </w:p>
    <w:p w:rsidR="41CCF1C7" w:rsidP="075F7B3C" w:rsidRDefault="41CCF1C7" w14:paraId="3A312226" w14:textId="0EE7A0E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1CCF1C7">
        <w:rPr/>
        <w:t>Section 2 – Operating Parameters:</w:t>
      </w:r>
    </w:p>
    <w:p w:rsidR="41CCF1C7" w:rsidP="075F7B3C" w:rsidRDefault="41CCF1C7" w14:paraId="18569153" w14:textId="2A5F901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41CCF1C7">
        <w:rPr/>
        <w:t>The addition of verbiage around the relationship between CFMU Radio Inc and The Silhouette and the focus on supporting new media</w:t>
      </w:r>
    </w:p>
    <w:p w:rsidR="474D4131" w:rsidP="075F7B3C" w:rsidRDefault="474D4131" w14:paraId="00DD40AE" w14:textId="190ACA9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474D4131">
        <w:rPr/>
        <w:t>The Silhouette operating as a division of CFMU as outlined in the new CFMU Operating Policy 9</w:t>
      </w:r>
      <w:r w:rsidR="209E0A6E">
        <w:rPr/>
        <w:t xml:space="preserve"> – </w:t>
      </w:r>
      <w:r w:rsidR="474D4131">
        <w:rPr/>
        <w:t>Silhouette</w:t>
      </w:r>
    </w:p>
    <w:p w:rsidR="72EEC293" w:rsidP="075F7B3C" w:rsidRDefault="72EEC293" w14:paraId="13830E42" w14:textId="2727E83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72EEC293">
        <w:rPr/>
        <w:t>CFMU Inc. Will be structured into the departments; Radio, Newspaper &amp; Multimedia</w:t>
      </w:r>
    </w:p>
    <w:p w:rsidR="7712F87A" w:rsidP="075F7B3C" w:rsidRDefault="7712F87A" w14:paraId="0D6D2E8D" w14:textId="201782C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7712F87A">
        <w:rPr/>
        <w:t>Section 5 – Personnel Structure:</w:t>
      </w:r>
    </w:p>
    <w:p w:rsidR="7712F87A" w:rsidP="075F7B3C" w:rsidRDefault="7712F87A" w14:paraId="266629C2" w14:textId="74173F0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7712F87A">
        <w:rPr/>
        <w:t>Addition of Silhouette Editor-in-Chief reporting to Program Director</w:t>
      </w:r>
    </w:p>
    <w:p w:rsidR="7712F87A" w:rsidP="075F7B3C" w:rsidRDefault="7712F87A" w14:paraId="6BDAC4E1" w14:textId="401D1D8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7712F87A">
        <w:rPr/>
        <w:t>Addition of Community Outreach Coordinator reporting to the Administrative Director</w:t>
      </w:r>
    </w:p>
    <w:p w:rsidR="320EAD43" w:rsidP="075F7B3C" w:rsidRDefault="320EAD43" w14:paraId="7D70F96F" w14:textId="1AE577D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320EAD43">
        <w:rPr/>
        <w:t>Section 7 – Newspaper</w:t>
      </w:r>
    </w:p>
    <w:p w:rsidR="320EAD43" w:rsidP="075F7B3C" w:rsidRDefault="320EAD43" w14:paraId="2E48C4E4" w14:textId="5E329AD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320EAD43">
        <w:rPr/>
        <w:t>New section to include the Silhouette &amp; various staff members</w:t>
      </w:r>
    </w:p>
    <w:p w:rsidR="7695F6B6" w:rsidP="075F7B3C" w:rsidRDefault="7695F6B6" w14:paraId="2FF2328D" w14:textId="1F8424C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7695F6B6">
        <w:rPr/>
        <w:t>Addition of Multimedia</w:t>
      </w:r>
    </w:p>
    <w:p w:rsidR="7695F6B6" w:rsidP="075F7B3C" w:rsidRDefault="7695F6B6" w14:paraId="5953C6ED" w14:textId="0EFE5C4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7695F6B6">
        <w:rPr/>
        <w:t>Section 8 – Standing Committees</w:t>
      </w:r>
    </w:p>
    <w:p w:rsidR="7695F6B6" w:rsidP="075F7B3C" w:rsidRDefault="7695F6B6" w14:paraId="111E3C5C" w14:textId="69A5988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7695F6B6">
        <w:rPr/>
        <w:t>Addition of The Silhouette Board of Publications</w:t>
      </w:r>
    </w:p>
    <w:p w:rsidR="7712F87A" w:rsidP="075F7B3C" w:rsidRDefault="7712F87A" w14:paraId="362C8665" w14:textId="23C21F9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7712F87A">
        <w:rPr/>
        <w:t>General updates to grammar, wording</w:t>
      </w:r>
      <w:r w:rsidR="0363237F">
        <w:rPr/>
        <w:t xml:space="preserve">, </w:t>
      </w:r>
      <w:r w:rsidR="7712F87A">
        <w:rPr/>
        <w:t>spelling</w:t>
      </w:r>
      <w:r w:rsidR="613A9D49">
        <w:rPr/>
        <w:t xml:space="preserve"> and formatting</w:t>
      </w:r>
    </w:p>
    <w:p w:rsidR="4DD7E320" w:rsidP="075F7B3C" w:rsidRDefault="4DD7E320" w14:paraId="4DC34348" w14:textId="25D5C2A6">
      <w:pPr>
        <w:pStyle w:val="Normal"/>
      </w:pPr>
      <w:r w:rsidR="4DD7E320">
        <w:rPr/>
        <w:t>Thank you,</w:t>
      </w:r>
    </w:p>
    <w:p w:rsidR="075F7B3C" w:rsidP="075F7B3C" w:rsidRDefault="075F7B3C" w14:paraId="7ED41C98" w14:textId="3955E147">
      <w:pPr>
        <w:pStyle w:val="Normal"/>
      </w:pPr>
    </w:p>
    <w:p w:rsidR="075F7B3C" w:rsidP="075F7B3C" w:rsidRDefault="075F7B3C" w14:paraId="16CB309F" w14:textId="126BA302">
      <w:pPr>
        <w:pStyle w:val="Normal"/>
      </w:pPr>
    </w:p>
    <w:p w:rsidR="4DD7E320" w:rsidP="075F7B3C" w:rsidRDefault="4DD7E320" w14:paraId="12066E2A" w14:textId="5888AE7D">
      <w:pPr>
        <w:pStyle w:val="Normal"/>
      </w:pPr>
      <w:r w:rsidR="4DD7E320">
        <w:rPr/>
        <w:t>Jess Anderson</w:t>
      </w:r>
    </w:p>
    <w:sectPr w:rsidR="00DC145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E6DF86"/>
    <w:rsid w:val="00035556"/>
    <w:rsid w:val="00737C2B"/>
    <w:rsid w:val="00DC1450"/>
    <w:rsid w:val="0363237F"/>
    <w:rsid w:val="075F7B3C"/>
    <w:rsid w:val="077725B5"/>
    <w:rsid w:val="08E6DF86"/>
    <w:rsid w:val="0A2EC70B"/>
    <w:rsid w:val="0B90D33E"/>
    <w:rsid w:val="0CBAD19F"/>
    <w:rsid w:val="10640208"/>
    <w:rsid w:val="110C84A0"/>
    <w:rsid w:val="15E1BC2B"/>
    <w:rsid w:val="177D8C8C"/>
    <w:rsid w:val="17AF5501"/>
    <w:rsid w:val="182F8509"/>
    <w:rsid w:val="1CC6F39C"/>
    <w:rsid w:val="1DF335BB"/>
    <w:rsid w:val="209E0A6E"/>
    <w:rsid w:val="2427301F"/>
    <w:rsid w:val="2459CC1F"/>
    <w:rsid w:val="258B66E7"/>
    <w:rsid w:val="25C0EACF"/>
    <w:rsid w:val="284898F9"/>
    <w:rsid w:val="312F4C12"/>
    <w:rsid w:val="320EAD43"/>
    <w:rsid w:val="33B0FD93"/>
    <w:rsid w:val="386B4659"/>
    <w:rsid w:val="3AB54B46"/>
    <w:rsid w:val="3ABD05FB"/>
    <w:rsid w:val="3D748103"/>
    <w:rsid w:val="3D7FFBAC"/>
    <w:rsid w:val="41CCF1C7"/>
    <w:rsid w:val="474D4131"/>
    <w:rsid w:val="4793A710"/>
    <w:rsid w:val="492F7771"/>
    <w:rsid w:val="4D62BD19"/>
    <w:rsid w:val="4D71819D"/>
    <w:rsid w:val="4DD7E320"/>
    <w:rsid w:val="527401EE"/>
    <w:rsid w:val="52BC3AAA"/>
    <w:rsid w:val="5C62439B"/>
    <w:rsid w:val="5FBCCA45"/>
    <w:rsid w:val="60027FEA"/>
    <w:rsid w:val="60E24484"/>
    <w:rsid w:val="613A9D49"/>
    <w:rsid w:val="670E8852"/>
    <w:rsid w:val="72EEC293"/>
    <w:rsid w:val="738FAACA"/>
    <w:rsid w:val="7695F6B6"/>
    <w:rsid w:val="7712F87A"/>
    <w:rsid w:val="7A8F89EA"/>
    <w:rsid w:val="7AFD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6DF86"/>
  <w15:chartTrackingRefBased/>
  <w15:docId w15:val="{443DBC8D-9C7A-442C-8E04-13878D1C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image" Target="/media/image2.png" Id="R62d12d78d62b451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VP Finance, Jessica Anderson</dc:creator>
  <keywords/>
  <dc:description/>
  <lastModifiedBy>President, Giancarlo Da-Ré</lastModifiedBy>
  <revision>4</revision>
  <dcterms:created xsi:type="dcterms:W3CDTF">2021-03-16T04:36:00.0000000Z</dcterms:created>
  <dcterms:modified xsi:type="dcterms:W3CDTF">2021-03-16T02:38:32.4397982Z</dcterms:modified>
</coreProperties>
</file>