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374C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11"/>
        <w:jc w:val="right"/>
        <w:rPr>
          <w:rFonts w:ascii="Helvetica Neue" w:eastAsia="Helvetica Neue" w:hAnsi="Helvetica Neue" w:cs="Helvetica Neue"/>
          <w:b/>
          <w:color w:val="000000"/>
          <w:sz w:val="96"/>
          <w:szCs w:val="96"/>
        </w:rPr>
      </w:pPr>
      <w:r>
        <w:rPr>
          <w:rFonts w:ascii="Helvetica Neue" w:eastAsia="Helvetica Neue" w:hAnsi="Helvetica Neue" w:cs="Helvetica Neue"/>
          <w:b/>
          <w:color w:val="000000"/>
          <w:sz w:val="96"/>
          <w:szCs w:val="96"/>
        </w:rPr>
        <w:t xml:space="preserve">REPORT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65E7676" wp14:editId="20F379F7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1800225" cy="133350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4D5033" w14:textId="139EE2AC" w:rsidR="000023FD" w:rsidRDefault="00E84F0C" w:rsidP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2880" w:firstLine="720"/>
        <w:rPr>
          <w:rFonts w:ascii="Helvetica Neue" w:eastAsia="Helvetica Neue" w:hAnsi="Helvetica Neue" w:cs="Helvetica Neue"/>
          <w:b/>
          <w:i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color w:val="000000"/>
          <w:sz w:val="24"/>
          <w:szCs w:val="24"/>
        </w:rPr>
        <w:t xml:space="preserve">        </w:t>
      </w:r>
      <w:r>
        <w:rPr>
          <w:rFonts w:ascii="Helvetica Neue" w:eastAsia="Helvetica Neue" w:hAnsi="Helvetica Neue" w:cs="Helvetica Neue"/>
          <w:b/>
          <w:i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i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i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i/>
          <w:color w:val="000000"/>
          <w:sz w:val="24"/>
          <w:szCs w:val="24"/>
        </w:rPr>
        <w:t>From the office of the</w:t>
      </w:r>
      <w:r>
        <w:rPr>
          <w:rFonts w:ascii="Helvetica Neue" w:eastAsia="Helvetica Neue" w:hAnsi="Helvetica Neue" w:cs="Helvetica Neue"/>
          <w:b/>
          <w:i/>
          <w:color w:val="000000"/>
          <w:sz w:val="24"/>
          <w:szCs w:val="24"/>
        </w:rPr>
        <w:t xml:space="preserve"> </w:t>
      </w:r>
    </w:p>
    <w:p w14:paraId="4D0A9C74" w14:textId="61704404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right="979"/>
        <w:jc w:val="right"/>
        <w:rPr>
          <w:rFonts w:ascii="Helvetica Neue" w:eastAsia="Helvetica Neue" w:hAnsi="Helvetica Neue" w:cs="Helvetica Neue"/>
          <w:b/>
          <w:color w:val="000000"/>
          <w:sz w:val="43"/>
          <w:szCs w:val="43"/>
        </w:rPr>
      </w:pPr>
      <w:r>
        <w:rPr>
          <w:rFonts w:ascii="Helvetica Neue" w:eastAsia="Helvetica Neue" w:hAnsi="Helvetica Neue" w:cs="Helvetica Neue"/>
          <w:b/>
          <w:color w:val="000000"/>
          <w:sz w:val="43"/>
          <w:szCs w:val="43"/>
        </w:rPr>
        <w:t>Engineering</w:t>
      </w:r>
      <w:r>
        <w:rPr>
          <w:rFonts w:ascii="Helvetica Neue" w:eastAsia="Helvetica Neue" w:hAnsi="Helvetica Neue" w:cs="Helvetica Neue"/>
          <w:b/>
          <w:color w:val="000000"/>
          <w:sz w:val="43"/>
          <w:szCs w:val="43"/>
        </w:rPr>
        <w:t xml:space="preserve"> Caucus </w:t>
      </w:r>
    </w:p>
    <w:p w14:paraId="2B20E582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0" w:lineRule="auto"/>
        <w:ind w:left="4"/>
        <w:rPr>
          <w:rFonts w:ascii="Times New Roman" w:eastAsia="Times New Roman" w:hAnsi="Times New Roman" w:cs="Times New Roman"/>
          <w:color w:val="000000"/>
          <w:sz w:val="4"/>
          <w:szCs w:val="4"/>
        </w:rPr>
      </w:pPr>
      <w:r>
        <w:rPr>
          <w:rFonts w:ascii="Times New Roman" w:eastAsia="Times New Roman" w:hAnsi="Times New Roman" w:cs="Times New Roman"/>
          <w:color w:val="000000"/>
          <w:sz w:val="4"/>
          <w:szCs w:val="4"/>
        </w:rPr>
        <w:t xml:space="preserve">. </w:t>
      </w:r>
    </w:p>
    <w:p w14:paraId="28117E20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20" w:right="1860" w:hanging="18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TO: Members of the Student Representative Assembly </w:t>
      </w:r>
    </w:p>
    <w:p w14:paraId="4220598E" w14:textId="4969E113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20" w:right="1860" w:hanging="18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FROM: Saad Baig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, Engineering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SRA </w:t>
      </w:r>
    </w:p>
    <w:p w14:paraId="6E1884CF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SUBJECT: SRA 20</w:t>
      </w:r>
      <w:r>
        <w:rPr>
          <w:rFonts w:ascii="Helvetica Neue" w:eastAsia="Helvetica Neue" w:hAnsi="Helvetica Neue" w:cs="Helvetica Neue"/>
          <w:sz w:val="24"/>
          <w:szCs w:val="24"/>
        </w:rPr>
        <w:t>L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Report </w:t>
      </w:r>
    </w:p>
    <w:p w14:paraId="3DABEC70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DATE: </w:t>
      </w:r>
      <w:r>
        <w:rPr>
          <w:rFonts w:ascii="Helvetica Neue" w:eastAsia="Helvetica Neue" w:hAnsi="Helvetica Neue" w:cs="Helvetica Neue"/>
          <w:sz w:val="24"/>
          <w:szCs w:val="24"/>
        </w:rPr>
        <w:t>Jan 7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, 202</w:t>
      </w:r>
      <w:r>
        <w:rPr>
          <w:rFonts w:ascii="Helvetica Neue" w:eastAsia="Helvetica Neue" w:hAnsi="Helvetica Neue" w:cs="Helvetica Neue"/>
          <w:sz w:val="24"/>
          <w:szCs w:val="24"/>
        </w:rPr>
        <w:t>1</w:t>
      </w:r>
    </w:p>
    <w:p w14:paraId="079A6C9E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left="16"/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Progress on Year Plan </w:t>
      </w:r>
    </w:p>
    <w:p w14:paraId="4A459A67" w14:textId="77777777" w:rsidR="000023FD" w:rsidRDefault="000023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" w:right="1815" w:firstLine="14"/>
        <w:rPr>
          <w:rFonts w:ascii="Helvetica Neue" w:eastAsia="Helvetica Neue" w:hAnsi="Helvetica Neue" w:cs="Helvetica Neue"/>
          <w:sz w:val="21"/>
          <w:szCs w:val="21"/>
        </w:rPr>
      </w:pPr>
    </w:p>
    <w:p w14:paraId="6B413350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" w:right="1815" w:firstLine="14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Happy New Year! </w:t>
      </w:r>
    </w:p>
    <w:p w14:paraId="3F5A725B" w14:textId="77777777" w:rsidR="000023FD" w:rsidRDefault="000023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" w:right="1815" w:firstLine="14"/>
        <w:rPr>
          <w:rFonts w:ascii="Helvetica Neue" w:eastAsia="Helvetica Neue" w:hAnsi="Helvetica Neue" w:cs="Helvetica Neue"/>
          <w:sz w:val="21"/>
          <w:szCs w:val="21"/>
        </w:rPr>
      </w:pPr>
    </w:p>
    <w:p w14:paraId="0BE1F54A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" w:right="1815" w:firstLine="14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Sometimes I tend to think Jan is mid-year, but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that’s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a little misleading. Our MSU roles started May 1st, so if anything, this report comes to you </w:t>
      </w: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two-thirds of the way </w:t>
      </w:r>
      <w:r>
        <w:rPr>
          <w:rFonts w:ascii="Helvetica Neue" w:eastAsia="Helvetica Neue" w:hAnsi="Helvetica Neue" w:cs="Helvetica Neue"/>
          <w:sz w:val="21"/>
          <w:szCs w:val="21"/>
        </w:rPr>
        <w:t>through</w:t>
      </w: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my </w:t>
      </w:r>
      <w:proofErr w:type="spellStart"/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term.There's</w:t>
      </w:r>
      <w:proofErr w:type="spellEnd"/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not much time left so hopefully we all can work with haste, wrap up projects and lay groundworks for next year.</w:t>
      </w:r>
    </w:p>
    <w:p w14:paraId="768BBE65" w14:textId="77777777" w:rsidR="000023FD" w:rsidRDefault="000023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" w:right="1815" w:firstLine="14"/>
        <w:rPr>
          <w:rFonts w:ascii="Helvetica Neue" w:eastAsia="Helvetica Neue" w:hAnsi="Helvetica Neue" w:cs="Helvetica Neue"/>
          <w:sz w:val="21"/>
          <w:szCs w:val="21"/>
        </w:rPr>
      </w:pPr>
    </w:p>
    <w:p w14:paraId="6A141077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" w:right="1815" w:firstLine="14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In July,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ArtSci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SRA narrowed </w:t>
      </w:r>
      <w:r>
        <w:rPr>
          <w:rFonts w:ascii="Helvetica Neue" w:eastAsia="Helvetica Neue" w:hAnsi="Helvetica Neue" w:cs="Helvetica Neue"/>
          <w:b/>
          <w:sz w:val="21"/>
          <w:szCs w:val="21"/>
        </w:rPr>
        <w:t>down seven major priorities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as personal projects. Three have seen progress (communication, SRA Obs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erver project and anti-racism), although they will continue to be worked on. Four have seen delay / blocks, with no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SASSex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event happening with SRA. These are best detailed in the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ArtSci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SRA report that went out to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all of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ArtSci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recently, which can be foun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d on FB here: </w:t>
      </w:r>
    </w:p>
    <w:p w14:paraId="1EC8951A" w14:textId="77777777" w:rsidR="000023FD" w:rsidRDefault="000023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" w:right="1815" w:firstLine="14"/>
        <w:rPr>
          <w:rFonts w:ascii="Helvetica Neue" w:eastAsia="Helvetica Neue" w:hAnsi="Helvetica Neue" w:cs="Helvetica Neue"/>
          <w:sz w:val="21"/>
          <w:szCs w:val="21"/>
        </w:rPr>
      </w:pPr>
    </w:p>
    <w:p w14:paraId="100CC131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" w:right="1815" w:firstLine="14"/>
        <w:rPr>
          <w:rFonts w:ascii="Helvetica Neue" w:eastAsia="Helvetica Neue" w:hAnsi="Helvetica Neue" w:cs="Helvetica Neue"/>
          <w:sz w:val="21"/>
          <w:szCs w:val="21"/>
        </w:rPr>
      </w:pPr>
      <w:hyperlink r:id="rId6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https://www.facebook.com/SRArtSci/photos/pcb.1926520680839687/1926520067506415/</w:t>
        </w:r>
      </w:hyperlink>
    </w:p>
    <w:p w14:paraId="545C37DC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16"/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Past Events, Projects, &amp; Activities </w:t>
      </w:r>
    </w:p>
    <w:p w14:paraId="70D7E290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52" w:lineRule="auto"/>
        <w:ind w:left="9" w:right="1576" w:firstLine="9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SRA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ArtSci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Caucus used the SRA Special Project Fund for two purposes: one was a contest to ensure we had the most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amount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of followers on bo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th our social media platforms. The reasoning behind this usage of the fund was since the only way SRA can engage this year is online &amp; through social media, making sure our socials had the most amount of attention possible was paramount. </w:t>
      </w:r>
    </w:p>
    <w:p w14:paraId="251BA0E1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52" w:lineRule="auto"/>
        <w:ind w:right="1576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Joined with SRA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HealthSci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>, we were also able to use the Project Fund to donate $200 towards @DefundHPS, protesting to re-allocate the half-a-million 2020 excess from Hamilton Police into immediate public housing.</w:t>
      </w:r>
    </w:p>
    <w:p w14:paraId="2FF7A73D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lastRenderedPageBreak/>
        <w:t xml:space="preserve">Upcoming Events, Projects, &amp; Activities </w:t>
      </w:r>
    </w:p>
    <w:p w14:paraId="4AD79E49" w14:textId="77777777" w:rsidR="000023FD" w:rsidRDefault="00E84F0C">
      <w:pPr>
        <w:widowControl w:val="0"/>
        <w:numPr>
          <w:ilvl w:val="0"/>
          <w:numId w:val="1"/>
        </w:numPr>
        <w:spacing w:before="240" w:line="240" w:lineRule="auto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Be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tter communication through Instagram (meeting recaps, more takeovers,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etc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>) and using the Melange magazine to disseminate SRA information</w:t>
      </w:r>
    </w:p>
    <w:p w14:paraId="4CE0292A" w14:textId="77777777" w:rsidR="000023FD" w:rsidRDefault="00E84F0C">
      <w:pPr>
        <w:widowControl w:val="0"/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One more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ArtSci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SASS Observer Project and more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SASSwatch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episodes!</w:t>
      </w:r>
    </w:p>
    <w:p w14:paraId="4E981782" w14:textId="77777777" w:rsidR="000023FD" w:rsidRDefault="00E84F0C">
      <w:pPr>
        <w:widowControl w:val="0"/>
        <w:numPr>
          <w:ilvl w:val="0"/>
          <w:numId w:val="1"/>
        </w:numPr>
        <w:spacing w:after="240" w:line="240" w:lineRule="auto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Many consultations (SWC,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Ath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&amp; Rec for example)</w:t>
      </w:r>
    </w:p>
    <w:p w14:paraId="3BCABB9B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9"/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Curr</w:t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ent Challenges </w:t>
      </w:r>
    </w:p>
    <w:p w14:paraId="6B8BF9EE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52" w:lineRule="auto"/>
        <w:ind w:left="8" w:right="1537" w:firstLine="1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Being a one-person caucus is a lot, and my lovely SRA Observer is also juggling a lot in her obligations. Depending on how the SRA x SASS event goes and what folks are saying they want to see, may strike up an informal SASS Advocacy Committee to get some c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onstituents who want to </w:t>
      </w:r>
      <w:proofErr w:type="gram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help out</w:t>
      </w:r>
      <w:proofErr w:type="gram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. But if people are chilling on the advocacy side, </w:t>
      </w:r>
      <w:proofErr w:type="gram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I’ll</w:t>
      </w:r>
      <w:proofErr w:type="gram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chill with outward-reaching events too. </w:t>
      </w:r>
    </w:p>
    <w:p w14:paraId="74000A61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6"/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Successes </w:t>
      </w:r>
    </w:p>
    <w:p w14:paraId="409B333C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50" w:lineRule="auto"/>
        <w:ind w:left="1" w:right="1625" w:hanging="3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Our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SASSex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Online Accessibility Guidebook was featured in McMaster’s annual Accessibility newsletter to commemorate #IDPD2020. </w:t>
      </w:r>
    </w:p>
    <w:p w14:paraId="1D09525A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50" w:lineRule="auto"/>
        <w:ind w:left="1" w:right="1625" w:hanging="3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The SRA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Socarties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Essay Writing Webinar: with over 80 first-year registrants from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SocSci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, Humanities and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ArtSci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>, numerous SRA re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ps, panelists and presentations, the event was a huge success and such a privilege to plan! Big s/o to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ArtSci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panelists Anna B, Paige G and Mark P for lending their essay writing tips!</w:t>
      </w:r>
    </w:p>
    <w:p w14:paraId="09A8FA1A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50" w:lineRule="auto"/>
        <w:ind w:left="-1" w:right="1625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Very excited for this semester.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It’s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been really great working with everyone. </w:t>
      </w:r>
    </w:p>
    <w:p w14:paraId="328F5BC9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8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Best, </w:t>
      </w:r>
    </w:p>
    <w:p w14:paraId="40C10B88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Adeola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Egbeyemi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</w:p>
    <w:p w14:paraId="48E42E42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9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SRA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ArtSci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Caucus Leader </w:t>
      </w:r>
    </w:p>
    <w:p w14:paraId="74CF693F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8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McMaster Students Union </w:t>
      </w:r>
    </w:p>
    <w:p w14:paraId="54059CD5" w14:textId="77777777" w:rsidR="000023FD" w:rsidRDefault="00E84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8"/>
        <w:rPr>
          <w:rFonts w:ascii="Helvetica Neue" w:eastAsia="Helvetica Neue" w:hAnsi="Helvetica Neue" w:cs="Helvetica Neue"/>
          <w:color w:val="1155CC"/>
          <w:sz w:val="21"/>
          <w:szCs w:val="21"/>
          <w:u w:val="single"/>
        </w:rPr>
      </w:pPr>
      <w:r>
        <w:rPr>
          <w:rFonts w:ascii="Helvetica Neue" w:eastAsia="Helvetica Neue" w:hAnsi="Helvetica Neue" w:cs="Helvetica Neue"/>
          <w:color w:val="1155CC"/>
          <w:sz w:val="21"/>
          <w:szCs w:val="21"/>
          <w:u w:val="single"/>
        </w:rPr>
        <w:t>sraartsci@msu.mcmaster.ca</w:t>
      </w:r>
    </w:p>
    <w:sectPr w:rsidR="000023FD">
      <w:pgSz w:w="12240" w:h="15840"/>
      <w:pgMar w:top="1415" w:right="285" w:bottom="2055" w:left="179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2CBF"/>
    <w:multiLevelType w:val="multilevel"/>
    <w:tmpl w:val="BB2C0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FD"/>
    <w:rsid w:val="000023FD"/>
    <w:rsid w:val="00E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1FE3"/>
  <w15:docId w15:val="{B23CC5BC-FCEC-4190-80F2-BFF2A53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RArtSci/photos/pcb.1926520680839687/192652006750641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4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Baig</dc:creator>
  <cp:lastModifiedBy>Saad Baig</cp:lastModifiedBy>
  <cp:revision>2</cp:revision>
  <dcterms:created xsi:type="dcterms:W3CDTF">2021-01-10T22:52:00Z</dcterms:created>
  <dcterms:modified xsi:type="dcterms:W3CDTF">2021-01-10T22:52:00Z</dcterms:modified>
</cp:coreProperties>
</file>