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A662E2">
            <w:pPr>
              <w:rPr>
                <w:rFonts w:ascii="Helvetica" w:hAnsi="Helvetica"/>
              </w:rPr>
            </w:pPr>
            <w:r w:rsidRPr="00A662E2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4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878DB" w:rsidP="00F5483D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Part Time Manager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F5483D" w:rsidRPr="008416CB" w:rsidTr="00F5483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5483D" w:rsidRPr="008416CB" w:rsidRDefault="00F5483D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83D" w:rsidRPr="00332763" w:rsidRDefault="00F5483D" w:rsidP="00981B6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332763">
              <w:rPr>
                <w:rFonts w:ascii="Helvetica" w:hAnsi="Helvetica"/>
                <w:b/>
                <w:sz w:val="22"/>
                <w:szCs w:val="22"/>
              </w:rPr>
              <w:t>Student Health Education Centre (SHEC) Coordinator</w:t>
            </w:r>
          </w:p>
        </w:tc>
      </w:tr>
      <w:tr w:rsidR="00F5483D" w:rsidRPr="008416CB" w:rsidTr="00F5483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83D" w:rsidRPr="008416CB" w:rsidRDefault="00F5483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F5483D" w:rsidRPr="00332763" w:rsidRDefault="00F5483D" w:rsidP="00981B6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483D" w:rsidRPr="008416CB" w:rsidTr="00F5483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5483D" w:rsidRPr="008416CB" w:rsidRDefault="00F5483D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83D" w:rsidRPr="00332763" w:rsidRDefault="00D929C3" w:rsidP="00981B6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 1 – April 30</w:t>
            </w:r>
          </w:p>
        </w:tc>
      </w:tr>
      <w:tr w:rsidR="00F5483D" w:rsidRPr="008416CB" w:rsidTr="00F5483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83D" w:rsidRPr="008416CB" w:rsidRDefault="00F5483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F5483D" w:rsidRPr="00332763" w:rsidRDefault="00F5483D" w:rsidP="00981B6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5483D" w:rsidRPr="008416CB" w:rsidTr="00F5483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5483D" w:rsidRPr="008416CB" w:rsidRDefault="00F5483D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83D" w:rsidRPr="00332763" w:rsidRDefault="00F5483D" w:rsidP="00981B6B">
            <w:pPr>
              <w:rPr>
                <w:rFonts w:ascii="Helvetica" w:hAnsi="Helvetica"/>
                <w:sz w:val="22"/>
                <w:szCs w:val="22"/>
              </w:rPr>
            </w:pPr>
            <w:r w:rsidRPr="00332763">
              <w:rPr>
                <w:rFonts w:ascii="Helvetica" w:hAnsi="Helvetica"/>
                <w:sz w:val="22"/>
                <w:szCs w:val="22"/>
              </w:rPr>
              <w:t>Executive Board through the Vice-President (Administration)</w:t>
            </w:r>
          </w:p>
        </w:tc>
      </w:tr>
      <w:tr w:rsidR="007C1F66" w:rsidRPr="008416CB" w:rsidTr="00F5483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F5483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D929C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D3</w:t>
            </w:r>
          </w:p>
        </w:tc>
      </w:tr>
      <w:tr w:rsidR="007C1F66" w:rsidRPr="008416CB" w:rsidTr="00F5483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F5483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D929C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 to 12 hours per week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F5483D">
            <w:p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  <w:lang w:eastAsia="en-US"/>
              </w:rPr>
              <w:t xml:space="preserve">The SHEC Coordinator is responsible for overseeing the operations of SHEC, its Executive, and its volunteers.  Also responsible for making </w:t>
            </w:r>
            <w:proofErr w:type="gramStart"/>
            <w:r w:rsidRPr="00F5483D">
              <w:rPr>
                <w:rFonts w:ascii="Helvetica" w:hAnsi="Helvetica"/>
                <w:sz w:val="22"/>
                <w:szCs w:val="22"/>
                <w:lang w:eastAsia="en-US"/>
              </w:rPr>
              <w:t>all budgetary</w:t>
            </w:r>
            <w:proofErr w:type="gramEnd"/>
            <w:r w:rsidRPr="00F5483D">
              <w:rPr>
                <w:rFonts w:ascii="Helvetica" w:hAnsi="Helvetica"/>
                <w:sz w:val="22"/>
                <w:szCs w:val="22"/>
                <w:lang w:eastAsia="en-US"/>
              </w:rPr>
              <w:t xml:space="preserve"> decisions, all operating policy, overseeing committee work and new initiatives, and acting as the prime contact with the Student Wellness Centre Director.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F5483D" w:rsidP="00F5483D">
            <w:pPr>
              <w:tabs>
                <w:tab w:val="center" w:pos="513"/>
                <w:tab w:val="right" w:pos="1026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ab/>
            </w:r>
            <w:r>
              <w:rPr>
                <w:rFonts w:ascii="Helvetica" w:hAnsi="Helvetica"/>
                <w:sz w:val="22"/>
                <w:szCs w:val="22"/>
              </w:rPr>
              <w:tab/>
              <w:t>65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Supervise Executive members and approximately volunteers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 xml:space="preserve">Coordinate the training of volunteers through core training before the beginning of volunteer terms and ongoing monthly training 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Organize volunteer training content and schedule in consultation with the Student Wellness Centre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 xml:space="preserve">Provide training for Executive members in areas of facilitating meetings and centre operations 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Recruit and hire all incoming SHEC Executive and volunteers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Organize all processes for selecting volunteers and incoming Executive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Establish and enforce rules set out for volunteers and Executive Coordinate and initiate new activities</w:t>
            </w:r>
          </w:p>
          <w:p w:rsidR="007C1F66" w:rsidRPr="008416CB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Set the vision for SHEC in that year, determine tasks for the year and delegate to committees/Executive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F5483D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Work with the Vice-President (Finance) to meet the financial needs of the department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Order needed supplies and carry out accounting duties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Prepare Purchase Orders (POs) and Standing Orders as required, reviewing the SHEC Bill Folder weekly.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lastRenderedPageBreak/>
              <w:t>Maintain constant communication with the Vice-President (Finance) on financial matters, including undergoing a budget review process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Maintain proper records of POs and transactions</w:t>
            </w:r>
          </w:p>
          <w:p w:rsidR="007C1F66" w:rsidRPr="008416CB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Review the general ledger entries and monthly statements to ensure transactions have been properly recorded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F5483D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Prepare for submission to the Executive Board (EB) a detailed year plan (summer) and two reports per term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Interact with other services in the MSU and the larger McMaster/Hamilton communities to start new initiatives, ensuring that standing cooperative events continue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Chair Executive meetings to keep communication flowing throughout SHEC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Meet with staff from the Student Wellness Centre (SWC) to discuss SHEC initiatives and act as the primary liaison with the SWC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Attend monthly Part-Time Manager meetings</w:t>
            </w:r>
          </w:p>
          <w:p w:rsidR="007C1F66" w:rsidRPr="008416CB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Ensure website is updated regularly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F5483D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Advertise and promote SHEC, utilizing the appropriate MSU departments (i.e. The Silhouette, CFMU, MSU Almanac, Underground Media &amp; Design, Compass Information Centre, etc.)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 xml:space="preserve">Promote SHEC to members of the McMaster community during various events, including participation at </w:t>
            </w:r>
            <w:proofErr w:type="spellStart"/>
            <w:r w:rsidRPr="00F5483D">
              <w:rPr>
                <w:rFonts w:ascii="Helvetica" w:hAnsi="Helvetica"/>
                <w:sz w:val="22"/>
                <w:szCs w:val="22"/>
              </w:rPr>
              <w:t>Clubsfest</w:t>
            </w:r>
            <w:proofErr w:type="spellEnd"/>
            <w:r w:rsidRPr="00F5483D">
              <w:rPr>
                <w:rFonts w:ascii="Helvetica" w:hAnsi="Helvetica"/>
                <w:sz w:val="22"/>
                <w:szCs w:val="22"/>
              </w:rPr>
              <w:t>, Welcome Day, and Welcome Week</w:t>
            </w:r>
          </w:p>
          <w:p w:rsidR="007C1F66" w:rsidRPr="008416CB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 xml:space="preserve"> Ensure that the Promotions Chair promotes and advertise all SHEC events and initiatives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8416CB" w:rsidRDefault="00F5483D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Participate in a performance evaluation process set out by the Vice-President (Administration)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Responsible for other duties as assigned by the Vice-President (Administration)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Participate in transition with the outgoing SHEC Coordinator and provide transition for the incoming SHEC Coordinator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Be available to act and take on  shifts as necessary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Be available for office hours at least three (3) hours a week</w:t>
            </w:r>
          </w:p>
          <w:p w:rsidR="007C1F66" w:rsidRPr="008416CB" w:rsidRDefault="00F5483D" w:rsidP="00F5483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Facilitate and promote the partnership between Canadian Blood Services (CBS) and the MSU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Awareness and understanding of all the topics that SHEC covers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Knowledge of related health resources in the community and on campus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Peer counseling and education skills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Organizational and time management skills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Leadership skills, ability to lead and direct a team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Interpersonal skills required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Communication skills are required, especially the ability to talk to large groups of people and write reports</w:t>
            </w:r>
          </w:p>
          <w:p w:rsidR="007C1F66" w:rsidRPr="008416CB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Supervisory skills required to manage multiple</w:t>
            </w:r>
            <w:bookmarkStart w:id="0" w:name="_GoBack"/>
            <w:bookmarkEnd w:id="0"/>
            <w:r w:rsidRPr="00F5483D">
              <w:rPr>
                <w:rFonts w:ascii="Helvetica" w:hAnsi="Helvetica"/>
                <w:sz w:val="22"/>
                <w:szCs w:val="22"/>
              </w:rPr>
              <w:t xml:space="preserve"> volunteers</w:t>
            </w:r>
          </w:p>
        </w:tc>
      </w:tr>
    </w:tbl>
    <w:p w:rsidR="007C1F66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Effort required to exercise judgment in staff discipline situations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Effort required to deal with sensitive subject material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Effort required to facilitate sometimes long meetings effectively and efficiently</w:t>
            </w:r>
          </w:p>
          <w:p w:rsidR="007C1F66" w:rsidRPr="008416CB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Judgment required to make financial decisions for the department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Major duties are performed within the centre and there are frequent dealings with the general McMaster public, including the SWC, the MSU, and many campus organizations</w:t>
            </w:r>
          </w:p>
          <w:p w:rsidR="007C1F66" w:rsidRPr="008416CB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Past experiences with SHEC is preferred, past experience on the Executive is an asset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Experience coordinating a group and running extensive meetings or training an asset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Training and experience with budgeting procedures is an asset for the financial function of this position</w:t>
            </w:r>
          </w:p>
          <w:p w:rsidR="007C1F66" w:rsidRPr="008416CB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Participation in MSU Management Training required (provided)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Personal computer</w:t>
            </w:r>
          </w:p>
          <w:p w:rsidR="00F5483D" w:rsidRPr="00F5483D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Meridian Telephone system</w:t>
            </w:r>
          </w:p>
          <w:p w:rsidR="007C1F66" w:rsidRPr="008416CB" w:rsidRDefault="00F5483D" w:rsidP="00F5483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5483D">
              <w:rPr>
                <w:rFonts w:ascii="Helvetica" w:hAnsi="Helvetica"/>
                <w:sz w:val="22"/>
                <w:szCs w:val="22"/>
              </w:rPr>
              <w:t>Photocopier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6" w:rsidRDefault="000878DB">
      <w:r>
        <w:separator/>
      </w:r>
    </w:p>
  </w:endnote>
  <w:endnote w:type="continuationSeparator" w:id="0">
    <w:p w:rsidR="007C1F66" w:rsidRDefault="000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A662E2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A662E2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D929C3">
      <w:rPr>
        <w:rStyle w:val="PageNumber"/>
        <w:rFonts w:ascii="Helvetica" w:hAnsi="Helvetica"/>
        <w:noProof/>
        <w:sz w:val="16"/>
        <w:szCs w:val="16"/>
      </w:rPr>
      <w:t>3</w:t>
    </w:r>
    <w:r w:rsidR="00A662E2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A662E2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646E74">
      <w:rPr>
        <w:rFonts w:ascii="Helvetica" w:hAnsi="Helvetica"/>
        <w:noProof/>
        <w:sz w:val="16"/>
      </w:rPr>
      <w:t>P:\DEPARTS\ADMIN\Jess and Victoria shared documents\Job Descriptions\2015-2016 JOB DESCRIPTIONS\Student Health Education Centre\SHEC Coordinator.docx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</w:t>
    </w:r>
    <w:r w:rsidR="00E20840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D929C3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D929C3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D929C3" w:rsidRDefault="00F5483D">
          <w:pPr>
            <w:pStyle w:val="Footer"/>
            <w:rPr>
              <w:rFonts w:ascii="Helvetica" w:hAnsi="Helvetica" w:cs="Helvetica"/>
              <w:sz w:val="16"/>
            </w:rPr>
          </w:pPr>
          <w:r w:rsidRPr="00D929C3">
            <w:rPr>
              <w:rFonts w:ascii="Helvetica" w:hAnsi="Helvetica" w:cs="Helvetica"/>
              <w:sz w:val="16"/>
            </w:rPr>
            <w:t>Approved EB 97-37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D929C3" w:rsidRDefault="007C1F66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D929C3" w:rsidRDefault="007C1F66">
          <w:pPr>
            <w:pStyle w:val="Footer"/>
            <w:rPr>
              <w:rFonts w:ascii="Helvetica" w:hAnsi="Helvetica" w:cs="Helvetica"/>
              <w:sz w:val="16"/>
            </w:rPr>
          </w:pPr>
        </w:p>
      </w:tc>
    </w:tr>
    <w:tr w:rsidR="007C1F66" w:rsidRPr="00D929C3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D929C3" w:rsidRDefault="00F5483D">
          <w:pPr>
            <w:pStyle w:val="Footer"/>
            <w:rPr>
              <w:rFonts w:ascii="Helvetica" w:hAnsi="Helvetica" w:cs="Helvetica"/>
              <w:sz w:val="16"/>
            </w:rPr>
          </w:pPr>
          <w:r w:rsidRPr="00D929C3">
            <w:rPr>
              <w:rFonts w:ascii="Helvetica" w:hAnsi="Helvetica" w:cs="Helvetica"/>
              <w:sz w:val="16"/>
            </w:rPr>
            <w:t>Revised EB 03-24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D929C3" w:rsidRDefault="007C1F66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D929C3" w:rsidRDefault="007C1F66">
          <w:pPr>
            <w:pStyle w:val="Footer"/>
            <w:rPr>
              <w:rFonts w:ascii="Helvetica" w:hAnsi="Helvetica" w:cs="Helvetica"/>
              <w:sz w:val="16"/>
            </w:rPr>
          </w:pPr>
        </w:p>
      </w:tc>
    </w:tr>
    <w:tr w:rsidR="007C1F66" w:rsidRPr="00D929C3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D929C3" w:rsidRDefault="00F5483D">
          <w:pPr>
            <w:pStyle w:val="Footer"/>
            <w:rPr>
              <w:rFonts w:ascii="Helvetica" w:hAnsi="Helvetica" w:cs="Helvetica"/>
              <w:sz w:val="16"/>
            </w:rPr>
          </w:pPr>
          <w:r w:rsidRPr="00D929C3">
            <w:rPr>
              <w:rFonts w:ascii="Helvetica" w:hAnsi="Helvetica" w:cs="Helvetica"/>
              <w:sz w:val="16"/>
            </w:rPr>
            <w:t>Revised September 16, 2004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D929C3" w:rsidRDefault="007C1F66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D929C3" w:rsidRDefault="007C1F66">
          <w:pPr>
            <w:pStyle w:val="Footer"/>
            <w:rPr>
              <w:rFonts w:ascii="Helvetica" w:hAnsi="Helvetica" w:cs="Helvetica"/>
              <w:sz w:val="16"/>
            </w:rPr>
          </w:pPr>
        </w:p>
      </w:tc>
    </w:tr>
    <w:tr w:rsidR="007C1F66" w:rsidRPr="00D929C3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D929C3" w:rsidRDefault="00F5483D">
          <w:pPr>
            <w:pStyle w:val="Footer"/>
            <w:rPr>
              <w:rFonts w:ascii="Helvetica" w:hAnsi="Helvetica" w:cs="Helvetica"/>
              <w:sz w:val="16"/>
            </w:rPr>
          </w:pPr>
          <w:r w:rsidRPr="00D929C3">
            <w:rPr>
              <w:rFonts w:ascii="Helvetica" w:hAnsi="Helvetica" w:cs="Helvetica"/>
              <w:sz w:val="16"/>
            </w:rPr>
            <w:t>Revised EB 13-18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D929C3" w:rsidRDefault="007C1F66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D929C3" w:rsidRDefault="007C1F66">
          <w:pPr>
            <w:pStyle w:val="Footer"/>
            <w:rPr>
              <w:rFonts w:ascii="Helvetica" w:hAnsi="Helvetica" w:cs="Helvetica"/>
              <w:sz w:val="16"/>
            </w:rPr>
          </w:pPr>
        </w:p>
      </w:tc>
    </w:tr>
    <w:tr w:rsidR="007C1F66" w:rsidRPr="00D929C3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D929C3" w:rsidRDefault="00D929C3">
          <w:pPr>
            <w:pStyle w:val="Footer"/>
            <w:rPr>
              <w:rFonts w:ascii="Helvetica" w:hAnsi="Helvetica" w:cs="Helvetica"/>
              <w:sz w:val="16"/>
            </w:rPr>
          </w:pPr>
          <w:r w:rsidRPr="00D929C3">
            <w:rPr>
              <w:rFonts w:ascii="Helvetica" w:hAnsi="Helvetica" w:cs="Helvetica"/>
              <w:sz w:val="16"/>
            </w:rPr>
            <w:t>Revised EB 16-21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D929C3" w:rsidRDefault="007C1F66">
          <w:pPr>
            <w:pStyle w:val="Footer"/>
            <w:rPr>
              <w:rFonts w:ascii="Helvetica" w:hAnsi="Helvetica" w:cs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D929C3" w:rsidRDefault="007C1F66">
          <w:pPr>
            <w:pStyle w:val="Footer"/>
            <w:rPr>
              <w:rFonts w:ascii="Helvetica" w:hAnsi="Helvetica" w:cs="Helvetica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6" w:rsidRDefault="000878DB">
      <w:r>
        <w:separator/>
      </w:r>
    </w:p>
  </w:footnote>
  <w:footnote w:type="continuationSeparator" w:id="0">
    <w:p w:rsidR="007C1F66" w:rsidRDefault="000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F5483D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Student Health Education Centre (SHEC) Coordinator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28145D2"/>
    <w:multiLevelType w:val="hybridMultilevel"/>
    <w:tmpl w:val="7306152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4235A"/>
    <w:multiLevelType w:val="multilevel"/>
    <w:tmpl w:val="BD060F2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8A54A7C"/>
    <w:multiLevelType w:val="multilevel"/>
    <w:tmpl w:val="B72E0E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33209F8"/>
    <w:multiLevelType w:val="multilevel"/>
    <w:tmpl w:val="0326475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7C22318"/>
    <w:multiLevelType w:val="multilevel"/>
    <w:tmpl w:val="199016B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54C30E75"/>
    <w:multiLevelType w:val="multilevel"/>
    <w:tmpl w:val="241A5AE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6BBF4E38"/>
    <w:multiLevelType w:val="hybridMultilevel"/>
    <w:tmpl w:val="E21A80F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61282"/>
    <w:rsid w:val="000878DB"/>
    <w:rsid w:val="005B7741"/>
    <w:rsid w:val="00646E74"/>
    <w:rsid w:val="006D11FB"/>
    <w:rsid w:val="006D49BE"/>
    <w:rsid w:val="007953A2"/>
    <w:rsid w:val="007C1F66"/>
    <w:rsid w:val="008416CB"/>
    <w:rsid w:val="00952798"/>
    <w:rsid w:val="00A662E2"/>
    <w:rsid w:val="00B328EF"/>
    <w:rsid w:val="00CD4B86"/>
    <w:rsid w:val="00D929C3"/>
    <w:rsid w:val="00E20840"/>
    <w:rsid w:val="00F5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EB1F-FA67-402F-ACAD-CC419580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McMaster University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2017-01-16T21:08:00Z</dcterms:created>
  <dcterms:modified xsi:type="dcterms:W3CDTF">2017-01-16T21:08:00Z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</Properties>
</file>