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78748" w14:textId="77777777" w:rsidR="00A055E4" w:rsidRPr="00151AEE" w:rsidRDefault="00A055E4">
      <w:pPr>
        <w:rPr>
          <w:rFonts w:ascii="Helvetica" w:hAnsi="Helvetica"/>
          <w:sz w:val="22"/>
          <w:szCs w:val="22"/>
        </w:rPr>
      </w:pPr>
    </w:p>
    <w:p w14:paraId="00CDA7E2" w14:textId="77777777" w:rsidR="00A055E4" w:rsidRPr="00151AEE" w:rsidRDefault="00A055E4">
      <w:pPr>
        <w:rPr>
          <w:rFonts w:ascii="Helvetica" w:hAnsi="Helvetica"/>
          <w:sz w:val="22"/>
          <w:szCs w:val="22"/>
        </w:rPr>
      </w:pPr>
    </w:p>
    <w:p w14:paraId="6CAE2A98" w14:textId="77777777" w:rsidR="00A055E4" w:rsidRPr="00151AEE" w:rsidRDefault="00A055E4">
      <w:pPr>
        <w:rPr>
          <w:rFonts w:ascii="Helvetica" w:hAnsi="Helvetica"/>
          <w:sz w:val="22"/>
          <w:szCs w:val="22"/>
        </w:rPr>
      </w:pPr>
    </w:p>
    <w:p w14:paraId="70A4EA79" w14:textId="77777777" w:rsidR="00A055E4" w:rsidRPr="00151AEE" w:rsidRDefault="00A055E4">
      <w:pPr>
        <w:rPr>
          <w:rFonts w:ascii="Helvetica" w:hAnsi="Helvetica"/>
          <w:sz w:val="22"/>
          <w:szCs w:val="22"/>
        </w:rPr>
      </w:pPr>
    </w:p>
    <w:p w14:paraId="01C426DC" w14:textId="77777777" w:rsidR="00A055E4" w:rsidRPr="00151AEE" w:rsidRDefault="00A055E4">
      <w:pPr>
        <w:rPr>
          <w:rFonts w:ascii="Helvetica" w:hAnsi="Helvetica"/>
          <w:sz w:val="22"/>
          <w:szCs w:val="22"/>
        </w:rPr>
      </w:pPr>
    </w:p>
    <w:p w14:paraId="62FF64F4" w14:textId="137BE2A0" w:rsidR="00B55712" w:rsidRPr="00151AEE" w:rsidRDefault="00CB6438" w:rsidP="00B55712">
      <w:pPr>
        <w:rPr>
          <w:rFonts w:ascii="Helvetica" w:hAnsi="Helvetica"/>
          <w:b/>
          <w:bCs/>
          <w:sz w:val="40"/>
          <w:szCs w:val="40"/>
        </w:rPr>
      </w:pPr>
      <w:r w:rsidRPr="00151AEE">
        <w:rPr>
          <w:rFonts w:ascii="Helvetica" w:hAnsi="Helvetica"/>
          <w:b/>
          <w:bCs/>
          <w:sz w:val="40"/>
          <w:szCs w:val="40"/>
        </w:rPr>
        <w:t xml:space="preserve">Macademics </w:t>
      </w:r>
      <w:r w:rsidR="00666EC3" w:rsidRPr="00151AEE">
        <w:rPr>
          <w:rFonts w:ascii="Helvetica" w:hAnsi="Helvetica"/>
          <w:b/>
          <w:bCs/>
          <w:sz w:val="40"/>
          <w:szCs w:val="40"/>
        </w:rPr>
        <w:t xml:space="preserve">Appendix A – Teaching Awards Parameters </w:t>
      </w:r>
    </w:p>
    <w:p w14:paraId="7AD0C765" w14:textId="77777777" w:rsidR="00B55712" w:rsidRPr="00151AEE" w:rsidRDefault="00B55712" w:rsidP="00B55712">
      <w:pPr>
        <w:rPr>
          <w:rFonts w:ascii="Helvetica" w:hAnsi="Helvetica"/>
          <w:sz w:val="22"/>
          <w:szCs w:val="22"/>
        </w:rPr>
      </w:pPr>
    </w:p>
    <w:p w14:paraId="367E56F7" w14:textId="77777777" w:rsidR="00B55712" w:rsidRPr="00151AEE" w:rsidRDefault="00B55712" w:rsidP="00FC2743">
      <w:pPr>
        <w:rPr>
          <w:rFonts w:ascii="Helvetica" w:hAnsi="Helvetica"/>
          <w:sz w:val="22"/>
          <w:szCs w:val="22"/>
        </w:rPr>
      </w:pPr>
      <w:r w:rsidRPr="00151AEE">
        <w:rPr>
          <w:rFonts w:ascii="Helvetica" w:hAnsi="Helvetica"/>
          <w:sz w:val="22"/>
          <w:szCs w:val="22"/>
        </w:rPr>
        <w:t>The TAC shall confer Academic Division Awards to one (1) instructor in each academic division who:</w:t>
      </w:r>
    </w:p>
    <w:p w14:paraId="27DB2384" w14:textId="77777777" w:rsidR="00B55712" w:rsidRPr="00151AEE" w:rsidRDefault="00B55712" w:rsidP="00FC2743">
      <w:pPr>
        <w:pStyle w:val="ListParagraph"/>
        <w:numPr>
          <w:ilvl w:val="0"/>
          <w:numId w:val="12"/>
        </w:numPr>
        <w:rPr>
          <w:rFonts w:ascii="Helvetica" w:hAnsi="Helvetica"/>
          <w:sz w:val="22"/>
          <w:szCs w:val="22"/>
        </w:rPr>
      </w:pPr>
      <w:r w:rsidRPr="00151AEE">
        <w:rPr>
          <w:rFonts w:ascii="Helvetica" w:hAnsi="Helvetica"/>
          <w:sz w:val="22"/>
          <w:szCs w:val="22"/>
        </w:rPr>
        <w:t xml:space="preserve">Did not receive the award for the previous academic </w:t>
      </w:r>
      <w:proofErr w:type="gramStart"/>
      <w:r w:rsidRPr="00151AEE">
        <w:rPr>
          <w:rFonts w:ascii="Helvetica" w:hAnsi="Helvetica"/>
          <w:sz w:val="22"/>
          <w:szCs w:val="22"/>
        </w:rPr>
        <w:t>year;</w:t>
      </w:r>
      <w:proofErr w:type="gramEnd"/>
      <w:r w:rsidRPr="00151AEE">
        <w:rPr>
          <w:rFonts w:ascii="Helvetica" w:hAnsi="Helvetica"/>
          <w:sz w:val="22"/>
          <w:szCs w:val="22"/>
        </w:rPr>
        <w:t xml:space="preserve"> </w:t>
      </w:r>
    </w:p>
    <w:p w14:paraId="1CEE3401" w14:textId="77777777" w:rsidR="00B55712" w:rsidRPr="00151AEE" w:rsidRDefault="00B55712" w:rsidP="00FC2743">
      <w:pPr>
        <w:pStyle w:val="ListParagraph"/>
        <w:numPr>
          <w:ilvl w:val="0"/>
          <w:numId w:val="12"/>
        </w:numPr>
        <w:rPr>
          <w:rFonts w:ascii="Helvetica" w:hAnsi="Helvetica"/>
          <w:sz w:val="22"/>
          <w:szCs w:val="22"/>
        </w:rPr>
      </w:pPr>
      <w:r w:rsidRPr="00151AEE">
        <w:rPr>
          <w:rFonts w:ascii="Helvetica" w:hAnsi="Helvetica"/>
          <w:sz w:val="22"/>
          <w:szCs w:val="22"/>
        </w:rPr>
        <w:t xml:space="preserve">Rank among the top two (2) nominees per nomination period. The top nominees will be determined by the percentage of nominations cast from the registered students in the instructor’s course with the discretion of the </w:t>
      </w:r>
      <w:proofErr w:type="gramStart"/>
      <w:r w:rsidRPr="00151AEE">
        <w:rPr>
          <w:rFonts w:ascii="Helvetica" w:hAnsi="Helvetica"/>
          <w:sz w:val="22"/>
          <w:szCs w:val="22"/>
        </w:rPr>
        <w:t>Coordinator;</w:t>
      </w:r>
      <w:proofErr w:type="gramEnd"/>
    </w:p>
    <w:p w14:paraId="794DD4EA" w14:textId="77777777" w:rsidR="00B55712" w:rsidRPr="00151AEE" w:rsidRDefault="00B55712" w:rsidP="00FC2743">
      <w:pPr>
        <w:pStyle w:val="ListParagraph"/>
        <w:numPr>
          <w:ilvl w:val="0"/>
          <w:numId w:val="12"/>
        </w:numPr>
        <w:rPr>
          <w:rFonts w:ascii="Helvetica" w:hAnsi="Helvetica"/>
          <w:sz w:val="22"/>
          <w:szCs w:val="22"/>
        </w:rPr>
      </w:pPr>
      <w:r w:rsidRPr="00151AEE">
        <w:rPr>
          <w:rFonts w:ascii="Helvetica" w:hAnsi="Helvetica"/>
          <w:sz w:val="22"/>
          <w:szCs w:val="22"/>
        </w:rPr>
        <w:t xml:space="preserve">Received the highest average score of top nominees determined by the </w:t>
      </w:r>
      <w:proofErr w:type="gramStart"/>
      <w:r w:rsidRPr="00151AEE">
        <w:rPr>
          <w:rFonts w:ascii="Helvetica" w:hAnsi="Helvetica"/>
          <w:sz w:val="22"/>
          <w:szCs w:val="22"/>
        </w:rPr>
        <w:t>in class</w:t>
      </w:r>
      <w:proofErr w:type="gramEnd"/>
      <w:r w:rsidRPr="00151AEE">
        <w:rPr>
          <w:rFonts w:ascii="Helvetica" w:hAnsi="Helvetica"/>
          <w:sz w:val="22"/>
          <w:szCs w:val="22"/>
        </w:rPr>
        <w:t xml:space="preserve"> evaluations. </w:t>
      </w:r>
    </w:p>
    <w:p w14:paraId="39EE0AF2" w14:textId="77777777" w:rsidR="00B55712" w:rsidRPr="00151AEE" w:rsidRDefault="00B55712" w:rsidP="00FC2743">
      <w:pPr>
        <w:pStyle w:val="ListParagraph"/>
        <w:ind w:left="1224"/>
        <w:rPr>
          <w:rFonts w:ascii="Helvetica" w:hAnsi="Helvetica"/>
          <w:sz w:val="22"/>
          <w:szCs w:val="22"/>
        </w:rPr>
      </w:pPr>
    </w:p>
    <w:p w14:paraId="7C26BC27" w14:textId="77777777" w:rsidR="00B55712" w:rsidRPr="00151AEE" w:rsidRDefault="00B55712" w:rsidP="00FC2743">
      <w:pPr>
        <w:rPr>
          <w:rFonts w:ascii="Helvetica" w:hAnsi="Helvetica"/>
          <w:sz w:val="22"/>
          <w:szCs w:val="22"/>
        </w:rPr>
      </w:pPr>
      <w:r w:rsidRPr="00151AEE">
        <w:rPr>
          <w:rFonts w:ascii="Helvetica" w:hAnsi="Helvetica"/>
          <w:sz w:val="22"/>
          <w:szCs w:val="22"/>
        </w:rPr>
        <w:t>The TAC may confer Lifetime Achievement Award(s) to one (1) instructor each year who:</w:t>
      </w:r>
    </w:p>
    <w:p w14:paraId="750D26FD" w14:textId="77777777" w:rsidR="00B55712" w:rsidRPr="00151AEE" w:rsidRDefault="00B55712" w:rsidP="00FC2743">
      <w:pPr>
        <w:pStyle w:val="ListParagraph"/>
        <w:numPr>
          <w:ilvl w:val="0"/>
          <w:numId w:val="13"/>
        </w:numPr>
        <w:rPr>
          <w:rFonts w:ascii="Helvetica" w:hAnsi="Helvetica"/>
          <w:sz w:val="22"/>
          <w:szCs w:val="22"/>
        </w:rPr>
      </w:pPr>
      <w:r w:rsidRPr="00151AEE">
        <w:rPr>
          <w:rFonts w:ascii="Helvetica" w:hAnsi="Helvetica"/>
          <w:sz w:val="22"/>
          <w:szCs w:val="22"/>
        </w:rPr>
        <w:t xml:space="preserve">Has shown dedication to teaching at McMaster University for a minimum of ten (10) </w:t>
      </w:r>
      <w:proofErr w:type="gramStart"/>
      <w:r w:rsidRPr="00151AEE">
        <w:rPr>
          <w:rFonts w:ascii="Helvetica" w:hAnsi="Helvetica"/>
          <w:sz w:val="22"/>
          <w:szCs w:val="22"/>
        </w:rPr>
        <w:t>years;</w:t>
      </w:r>
      <w:proofErr w:type="gramEnd"/>
    </w:p>
    <w:p w14:paraId="149DBDCF" w14:textId="77777777" w:rsidR="00B55712" w:rsidRPr="00151AEE" w:rsidRDefault="00B55712" w:rsidP="00FC2743">
      <w:pPr>
        <w:pStyle w:val="ListParagraph"/>
        <w:numPr>
          <w:ilvl w:val="0"/>
          <w:numId w:val="13"/>
        </w:numPr>
        <w:rPr>
          <w:rFonts w:ascii="Helvetica" w:hAnsi="Helvetica"/>
          <w:sz w:val="22"/>
          <w:szCs w:val="22"/>
        </w:rPr>
      </w:pPr>
      <w:r w:rsidRPr="00151AEE">
        <w:rPr>
          <w:rFonts w:ascii="Helvetica" w:hAnsi="Helvetica"/>
          <w:sz w:val="22"/>
          <w:szCs w:val="22"/>
        </w:rPr>
        <w:t xml:space="preserve">Is close to </w:t>
      </w:r>
      <w:proofErr w:type="gramStart"/>
      <w:r w:rsidRPr="00151AEE">
        <w:rPr>
          <w:rFonts w:ascii="Helvetica" w:hAnsi="Helvetica"/>
          <w:sz w:val="22"/>
          <w:szCs w:val="22"/>
        </w:rPr>
        <w:t>retirement;</w:t>
      </w:r>
      <w:proofErr w:type="gramEnd"/>
    </w:p>
    <w:p w14:paraId="02877875" w14:textId="77777777" w:rsidR="00B55712" w:rsidRPr="00151AEE" w:rsidRDefault="00B55712" w:rsidP="00FC2743">
      <w:pPr>
        <w:pStyle w:val="ListParagraph"/>
        <w:numPr>
          <w:ilvl w:val="0"/>
          <w:numId w:val="13"/>
        </w:numPr>
        <w:rPr>
          <w:rFonts w:ascii="Helvetica" w:hAnsi="Helvetica"/>
          <w:sz w:val="22"/>
          <w:szCs w:val="22"/>
        </w:rPr>
      </w:pPr>
      <w:r w:rsidRPr="00151AEE">
        <w:rPr>
          <w:rFonts w:ascii="Helvetica" w:hAnsi="Helvetica"/>
          <w:sz w:val="22"/>
          <w:szCs w:val="22"/>
        </w:rPr>
        <w:t xml:space="preserve">Have shown evidence in their application of contribution to McMaster Academia, Student Life, and community outside of </w:t>
      </w:r>
      <w:proofErr w:type="gramStart"/>
      <w:r w:rsidRPr="00151AEE">
        <w:rPr>
          <w:rFonts w:ascii="Helvetica" w:hAnsi="Helvetica"/>
          <w:sz w:val="22"/>
          <w:szCs w:val="22"/>
        </w:rPr>
        <w:t>McMaster;</w:t>
      </w:r>
      <w:proofErr w:type="gramEnd"/>
    </w:p>
    <w:p w14:paraId="2224D435" w14:textId="77777777" w:rsidR="00B55712" w:rsidRPr="00151AEE" w:rsidRDefault="00B55712" w:rsidP="00FC2743">
      <w:pPr>
        <w:pStyle w:val="ListParagraph"/>
        <w:numPr>
          <w:ilvl w:val="0"/>
          <w:numId w:val="13"/>
        </w:numPr>
        <w:rPr>
          <w:rFonts w:ascii="Helvetica" w:hAnsi="Helvetica"/>
          <w:sz w:val="22"/>
          <w:szCs w:val="22"/>
        </w:rPr>
      </w:pPr>
      <w:r w:rsidRPr="00151AEE">
        <w:rPr>
          <w:rFonts w:ascii="Helvetica" w:hAnsi="Helvetica"/>
          <w:sz w:val="22"/>
          <w:szCs w:val="22"/>
        </w:rPr>
        <w:t xml:space="preserve">Is selected by the TAC through a blinded review process of the applications. </w:t>
      </w:r>
    </w:p>
    <w:p w14:paraId="79EDB577" w14:textId="77777777" w:rsidR="00B55712" w:rsidRPr="00151AEE" w:rsidRDefault="00B55712" w:rsidP="00FC2743">
      <w:pPr>
        <w:pStyle w:val="ListParagraph"/>
        <w:ind w:left="1224"/>
        <w:rPr>
          <w:rFonts w:ascii="Helvetica" w:hAnsi="Helvetica"/>
          <w:sz w:val="22"/>
          <w:szCs w:val="22"/>
        </w:rPr>
      </w:pPr>
    </w:p>
    <w:p w14:paraId="2F57A0A0" w14:textId="77777777" w:rsidR="00B55712" w:rsidRPr="00151AEE" w:rsidRDefault="00B55712" w:rsidP="00FC2743">
      <w:pPr>
        <w:rPr>
          <w:rFonts w:ascii="Helvetica" w:hAnsi="Helvetica"/>
          <w:sz w:val="22"/>
          <w:szCs w:val="22"/>
        </w:rPr>
      </w:pPr>
      <w:r w:rsidRPr="00151AEE">
        <w:rPr>
          <w:rFonts w:ascii="Helvetica" w:hAnsi="Helvetica"/>
          <w:sz w:val="22"/>
          <w:szCs w:val="22"/>
        </w:rPr>
        <w:t>The TAC may confer Merit Award(s) to up to two (2) instructors each year who:</w:t>
      </w:r>
    </w:p>
    <w:p w14:paraId="4FB9E07B" w14:textId="77777777" w:rsidR="00B55712" w:rsidRPr="00151AEE" w:rsidRDefault="00B55712" w:rsidP="00FC2743">
      <w:pPr>
        <w:pStyle w:val="ListParagraph"/>
        <w:numPr>
          <w:ilvl w:val="0"/>
          <w:numId w:val="14"/>
        </w:numPr>
        <w:rPr>
          <w:rFonts w:ascii="Helvetica" w:hAnsi="Helvetica"/>
          <w:sz w:val="22"/>
          <w:szCs w:val="22"/>
        </w:rPr>
      </w:pPr>
      <w:r w:rsidRPr="00151AEE">
        <w:rPr>
          <w:rFonts w:ascii="Helvetica" w:hAnsi="Helvetica"/>
          <w:sz w:val="22"/>
          <w:szCs w:val="22"/>
        </w:rPr>
        <w:t xml:space="preserve">Are in their first or second year of teaching at McMaster </w:t>
      </w:r>
      <w:proofErr w:type="gramStart"/>
      <w:r w:rsidRPr="00151AEE">
        <w:rPr>
          <w:rFonts w:ascii="Helvetica" w:hAnsi="Helvetica"/>
          <w:sz w:val="22"/>
          <w:szCs w:val="22"/>
        </w:rPr>
        <w:t>University;</w:t>
      </w:r>
      <w:proofErr w:type="gramEnd"/>
    </w:p>
    <w:p w14:paraId="28E5BE07" w14:textId="77777777" w:rsidR="00B55712" w:rsidRPr="00151AEE" w:rsidRDefault="00B55712" w:rsidP="00FC2743">
      <w:pPr>
        <w:pStyle w:val="ListParagraph"/>
        <w:numPr>
          <w:ilvl w:val="0"/>
          <w:numId w:val="14"/>
        </w:numPr>
        <w:rPr>
          <w:rFonts w:ascii="Helvetica" w:hAnsi="Helvetica"/>
          <w:sz w:val="22"/>
          <w:szCs w:val="22"/>
        </w:rPr>
      </w:pPr>
      <w:r w:rsidRPr="00151AEE">
        <w:rPr>
          <w:rFonts w:ascii="Helvetica" w:hAnsi="Helvetica"/>
          <w:sz w:val="22"/>
          <w:szCs w:val="22"/>
        </w:rPr>
        <w:t xml:space="preserve">Have shown evidence in their application of contribution and teaching abilities that have been significant, effective and worthy of </w:t>
      </w:r>
      <w:proofErr w:type="gramStart"/>
      <w:r w:rsidRPr="00151AEE">
        <w:rPr>
          <w:rFonts w:ascii="Helvetica" w:hAnsi="Helvetica"/>
          <w:sz w:val="22"/>
          <w:szCs w:val="22"/>
        </w:rPr>
        <w:t>distinction;</w:t>
      </w:r>
      <w:proofErr w:type="gramEnd"/>
    </w:p>
    <w:p w14:paraId="10B7E93D" w14:textId="77777777" w:rsidR="00B55712" w:rsidRPr="00151AEE" w:rsidRDefault="00B55712" w:rsidP="00FC2743">
      <w:pPr>
        <w:pStyle w:val="ListParagraph"/>
        <w:numPr>
          <w:ilvl w:val="0"/>
          <w:numId w:val="14"/>
        </w:numPr>
        <w:rPr>
          <w:rFonts w:ascii="Helvetica" w:hAnsi="Helvetica"/>
          <w:sz w:val="22"/>
          <w:szCs w:val="22"/>
        </w:rPr>
      </w:pPr>
      <w:r w:rsidRPr="00151AEE">
        <w:rPr>
          <w:rFonts w:ascii="Helvetica" w:hAnsi="Helvetica"/>
          <w:sz w:val="22"/>
          <w:szCs w:val="22"/>
        </w:rPr>
        <w:t xml:space="preserve">Are selected by TAC through a blinded review process of the applications. </w:t>
      </w:r>
    </w:p>
    <w:p w14:paraId="7A7B82B4" w14:textId="77777777" w:rsidR="00FC2743" w:rsidRPr="00151AEE" w:rsidRDefault="00FC2743" w:rsidP="00FC2743">
      <w:pPr>
        <w:rPr>
          <w:rFonts w:ascii="Helvetica" w:hAnsi="Helvetica"/>
          <w:sz w:val="22"/>
          <w:szCs w:val="22"/>
        </w:rPr>
      </w:pPr>
    </w:p>
    <w:p w14:paraId="6F522069" w14:textId="77777777" w:rsidR="00FC2743" w:rsidRPr="00151AEE" w:rsidRDefault="00B55712" w:rsidP="00FC2743">
      <w:pPr>
        <w:rPr>
          <w:rFonts w:ascii="Helvetica" w:hAnsi="Helvetica"/>
          <w:sz w:val="22"/>
          <w:szCs w:val="22"/>
        </w:rPr>
      </w:pPr>
      <w:r w:rsidRPr="00151AEE">
        <w:rPr>
          <w:rFonts w:ascii="Helvetica" w:hAnsi="Helvetica"/>
          <w:sz w:val="22"/>
          <w:szCs w:val="22"/>
        </w:rPr>
        <w:t>The TAC may confer Teaching Assistant Awards to up to two (2) Teaching or Instructional Assistants each year who:</w:t>
      </w:r>
    </w:p>
    <w:p w14:paraId="3CB24113" w14:textId="77777777" w:rsidR="00B55712" w:rsidRPr="00151AEE" w:rsidRDefault="00B55712" w:rsidP="00FC2743">
      <w:pPr>
        <w:pStyle w:val="ListParagraph"/>
        <w:numPr>
          <w:ilvl w:val="0"/>
          <w:numId w:val="15"/>
        </w:numPr>
        <w:rPr>
          <w:rFonts w:ascii="Helvetica" w:hAnsi="Helvetica"/>
          <w:sz w:val="22"/>
          <w:szCs w:val="22"/>
        </w:rPr>
      </w:pPr>
      <w:r w:rsidRPr="00151AEE">
        <w:rPr>
          <w:rFonts w:ascii="Helvetica" w:hAnsi="Helvetica"/>
          <w:sz w:val="22"/>
          <w:szCs w:val="22"/>
        </w:rPr>
        <w:t xml:space="preserve">Rank among the top three (3) nominees per nomination period. The top nominees will be determined by the percentage of nominations cast from registered students in the instructor’s course with the discretion of the </w:t>
      </w:r>
      <w:proofErr w:type="gramStart"/>
      <w:r w:rsidRPr="00151AEE">
        <w:rPr>
          <w:rFonts w:ascii="Helvetica" w:hAnsi="Helvetica"/>
          <w:sz w:val="22"/>
          <w:szCs w:val="22"/>
        </w:rPr>
        <w:t>Coordinator;</w:t>
      </w:r>
      <w:proofErr w:type="gramEnd"/>
    </w:p>
    <w:p w14:paraId="1D774328" w14:textId="77777777" w:rsidR="00B55712" w:rsidRPr="00151AEE" w:rsidRDefault="00B55712" w:rsidP="00FC2743">
      <w:pPr>
        <w:pStyle w:val="ListParagraph"/>
        <w:numPr>
          <w:ilvl w:val="0"/>
          <w:numId w:val="15"/>
        </w:numPr>
        <w:rPr>
          <w:rFonts w:ascii="Helvetica" w:hAnsi="Helvetica"/>
          <w:sz w:val="22"/>
          <w:szCs w:val="22"/>
        </w:rPr>
      </w:pPr>
      <w:r w:rsidRPr="00151AEE">
        <w:rPr>
          <w:rFonts w:ascii="Helvetica" w:hAnsi="Helvetica"/>
          <w:sz w:val="22"/>
          <w:szCs w:val="22"/>
        </w:rPr>
        <w:t xml:space="preserve">Received the highest average score of the top nominees determined by the </w:t>
      </w:r>
      <w:proofErr w:type="gramStart"/>
      <w:r w:rsidRPr="00151AEE">
        <w:rPr>
          <w:rFonts w:ascii="Helvetica" w:hAnsi="Helvetica"/>
          <w:sz w:val="22"/>
          <w:szCs w:val="22"/>
        </w:rPr>
        <w:t>in class</w:t>
      </w:r>
      <w:proofErr w:type="gramEnd"/>
      <w:r w:rsidRPr="00151AEE">
        <w:rPr>
          <w:rFonts w:ascii="Helvetica" w:hAnsi="Helvetica"/>
          <w:sz w:val="22"/>
          <w:szCs w:val="22"/>
        </w:rPr>
        <w:t xml:space="preserve"> evaluations. </w:t>
      </w:r>
    </w:p>
    <w:p w14:paraId="0358136D" w14:textId="77777777" w:rsidR="00B55712" w:rsidRPr="00151AEE" w:rsidRDefault="00B55712" w:rsidP="00FC2743">
      <w:pPr>
        <w:pStyle w:val="ListParagraph"/>
        <w:ind w:left="1224"/>
        <w:rPr>
          <w:rFonts w:ascii="Helvetica" w:hAnsi="Helvetica"/>
          <w:sz w:val="22"/>
          <w:szCs w:val="22"/>
        </w:rPr>
      </w:pPr>
    </w:p>
    <w:p w14:paraId="64EDF16C" w14:textId="77777777" w:rsidR="00B55712" w:rsidRPr="00151AEE" w:rsidRDefault="00B55712" w:rsidP="00FC2743">
      <w:pPr>
        <w:rPr>
          <w:rFonts w:ascii="Helvetica" w:hAnsi="Helvetica"/>
          <w:sz w:val="22"/>
          <w:szCs w:val="22"/>
        </w:rPr>
      </w:pPr>
      <w:r w:rsidRPr="00151AEE">
        <w:rPr>
          <w:rFonts w:ascii="Helvetica" w:hAnsi="Helvetica"/>
          <w:sz w:val="22"/>
          <w:szCs w:val="22"/>
        </w:rPr>
        <w:t>The TAC may confer Pedagogical Innovation Award(s) to one (1) instructor who:</w:t>
      </w:r>
    </w:p>
    <w:p w14:paraId="17539840" w14:textId="77777777" w:rsidR="00B55712" w:rsidRPr="00151AEE" w:rsidRDefault="00B55712" w:rsidP="00FC2743">
      <w:pPr>
        <w:pStyle w:val="ListParagraph"/>
        <w:numPr>
          <w:ilvl w:val="0"/>
          <w:numId w:val="16"/>
        </w:numPr>
        <w:rPr>
          <w:rFonts w:ascii="Helvetica" w:hAnsi="Helvetica"/>
          <w:sz w:val="22"/>
          <w:szCs w:val="22"/>
        </w:rPr>
      </w:pPr>
      <w:r w:rsidRPr="00151AEE">
        <w:rPr>
          <w:rFonts w:ascii="Helvetica" w:hAnsi="Helvetica"/>
          <w:sz w:val="22"/>
          <w:szCs w:val="22"/>
        </w:rPr>
        <w:t xml:space="preserve">Has shown innovation within their teaching or course </w:t>
      </w:r>
      <w:proofErr w:type="gramStart"/>
      <w:r w:rsidRPr="00151AEE">
        <w:rPr>
          <w:rFonts w:ascii="Helvetica" w:hAnsi="Helvetica"/>
          <w:sz w:val="22"/>
          <w:szCs w:val="22"/>
        </w:rPr>
        <w:t>design;</w:t>
      </w:r>
      <w:proofErr w:type="gramEnd"/>
    </w:p>
    <w:p w14:paraId="7D0484D2" w14:textId="77777777" w:rsidR="00B55712" w:rsidRPr="00151AEE" w:rsidRDefault="00B55712" w:rsidP="00FC2743">
      <w:pPr>
        <w:pStyle w:val="ListParagraph"/>
        <w:numPr>
          <w:ilvl w:val="0"/>
          <w:numId w:val="16"/>
        </w:numPr>
        <w:rPr>
          <w:rFonts w:ascii="Helvetica" w:hAnsi="Helvetica"/>
          <w:sz w:val="22"/>
          <w:szCs w:val="22"/>
        </w:rPr>
      </w:pPr>
      <w:r w:rsidRPr="00151AEE">
        <w:rPr>
          <w:rFonts w:ascii="Helvetica" w:hAnsi="Helvetica"/>
          <w:sz w:val="22"/>
          <w:szCs w:val="22"/>
        </w:rPr>
        <w:t xml:space="preserve">Is one of the top four (4) nominees within their </w:t>
      </w:r>
      <w:proofErr w:type="gramStart"/>
      <w:r w:rsidRPr="00151AEE">
        <w:rPr>
          <w:rFonts w:ascii="Helvetica" w:hAnsi="Helvetica"/>
          <w:sz w:val="22"/>
          <w:szCs w:val="22"/>
        </w:rPr>
        <w:t>faculty;</w:t>
      </w:r>
      <w:proofErr w:type="gramEnd"/>
    </w:p>
    <w:p w14:paraId="3168679F" w14:textId="77777777" w:rsidR="00B55712" w:rsidRPr="00151AEE" w:rsidRDefault="00B55712" w:rsidP="00FC2743">
      <w:pPr>
        <w:pStyle w:val="ListParagraph"/>
        <w:numPr>
          <w:ilvl w:val="0"/>
          <w:numId w:val="16"/>
        </w:numPr>
        <w:rPr>
          <w:rFonts w:ascii="Helvetica" w:hAnsi="Helvetica"/>
          <w:sz w:val="22"/>
          <w:szCs w:val="22"/>
        </w:rPr>
      </w:pPr>
      <w:r w:rsidRPr="00151AEE">
        <w:rPr>
          <w:rFonts w:ascii="Helvetica" w:hAnsi="Helvetica"/>
          <w:sz w:val="22"/>
          <w:szCs w:val="22"/>
        </w:rPr>
        <w:t xml:space="preserve">Has been selected by the TAC with the aid of the Vice-President (Education) through a blinded review process using comments received from the nomination and evaluation process. </w:t>
      </w:r>
    </w:p>
    <w:p w14:paraId="0D5C1801" w14:textId="77777777" w:rsidR="00B55712" w:rsidRPr="00151AEE" w:rsidRDefault="00B55712" w:rsidP="00FC2743">
      <w:pPr>
        <w:pStyle w:val="ListParagraph"/>
        <w:ind w:left="1224"/>
        <w:rPr>
          <w:rFonts w:ascii="Helvetica" w:hAnsi="Helvetica"/>
          <w:sz w:val="22"/>
          <w:szCs w:val="22"/>
        </w:rPr>
      </w:pPr>
    </w:p>
    <w:p w14:paraId="21119EA7" w14:textId="77777777" w:rsidR="00B55712" w:rsidRPr="00151AEE" w:rsidRDefault="00B55712" w:rsidP="00FC2743">
      <w:pPr>
        <w:rPr>
          <w:rFonts w:ascii="Helvetica" w:hAnsi="Helvetica"/>
          <w:sz w:val="22"/>
          <w:szCs w:val="22"/>
        </w:rPr>
      </w:pPr>
      <w:r w:rsidRPr="00151AEE">
        <w:rPr>
          <w:rFonts w:ascii="Helvetica" w:hAnsi="Helvetica"/>
          <w:sz w:val="22"/>
          <w:szCs w:val="22"/>
        </w:rPr>
        <w:t>The TAC may confer Community Engagement Award(s) to up to two (2) instructors each year who:</w:t>
      </w:r>
    </w:p>
    <w:p w14:paraId="3C0040AA" w14:textId="77777777" w:rsidR="00B55712" w:rsidRPr="00151AEE" w:rsidRDefault="00B55712" w:rsidP="00FC2743">
      <w:pPr>
        <w:pStyle w:val="ListParagraph"/>
        <w:numPr>
          <w:ilvl w:val="0"/>
          <w:numId w:val="17"/>
        </w:numPr>
        <w:rPr>
          <w:rFonts w:ascii="Helvetica" w:hAnsi="Helvetica"/>
          <w:sz w:val="22"/>
          <w:szCs w:val="22"/>
        </w:rPr>
      </w:pPr>
      <w:r w:rsidRPr="00151AEE">
        <w:rPr>
          <w:rFonts w:ascii="Helvetica" w:hAnsi="Helvetica"/>
          <w:sz w:val="22"/>
          <w:szCs w:val="22"/>
        </w:rPr>
        <w:lastRenderedPageBreak/>
        <w:t xml:space="preserve">Has shown dedication to Community Engaged Education at McMaster </w:t>
      </w:r>
      <w:proofErr w:type="gramStart"/>
      <w:r w:rsidRPr="00151AEE">
        <w:rPr>
          <w:rFonts w:ascii="Helvetica" w:hAnsi="Helvetica"/>
          <w:sz w:val="22"/>
          <w:szCs w:val="22"/>
        </w:rPr>
        <w:t>University;</w:t>
      </w:r>
      <w:proofErr w:type="gramEnd"/>
    </w:p>
    <w:p w14:paraId="70BD84FC" w14:textId="77777777" w:rsidR="00B55712" w:rsidRPr="00151AEE" w:rsidRDefault="00B55712" w:rsidP="00FC2743">
      <w:pPr>
        <w:pStyle w:val="ListParagraph"/>
        <w:numPr>
          <w:ilvl w:val="0"/>
          <w:numId w:val="17"/>
        </w:numPr>
        <w:rPr>
          <w:rFonts w:ascii="Helvetica" w:hAnsi="Helvetica"/>
          <w:sz w:val="22"/>
          <w:szCs w:val="22"/>
        </w:rPr>
      </w:pPr>
      <w:r w:rsidRPr="00151AEE">
        <w:rPr>
          <w:rFonts w:ascii="Helvetica" w:hAnsi="Helvetica"/>
          <w:sz w:val="22"/>
          <w:szCs w:val="22"/>
        </w:rPr>
        <w:t xml:space="preserve">Has shown evidence in their application of contribution to the broader </w:t>
      </w:r>
      <w:proofErr w:type="gramStart"/>
      <w:r w:rsidRPr="00151AEE">
        <w:rPr>
          <w:rFonts w:ascii="Helvetica" w:hAnsi="Helvetica"/>
          <w:sz w:val="22"/>
          <w:szCs w:val="22"/>
        </w:rPr>
        <w:t>community;</w:t>
      </w:r>
      <w:proofErr w:type="gramEnd"/>
    </w:p>
    <w:p w14:paraId="31A39F79" w14:textId="77777777" w:rsidR="00B55712" w:rsidRPr="00151AEE" w:rsidRDefault="00B55712" w:rsidP="00FC2743">
      <w:pPr>
        <w:pStyle w:val="ListParagraph"/>
        <w:numPr>
          <w:ilvl w:val="0"/>
          <w:numId w:val="17"/>
        </w:numPr>
        <w:rPr>
          <w:rFonts w:ascii="Helvetica" w:hAnsi="Helvetica"/>
          <w:sz w:val="22"/>
          <w:szCs w:val="22"/>
        </w:rPr>
      </w:pPr>
      <w:r w:rsidRPr="00151AEE">
        <w:rPr>
          <w:rFonts w:ascii="Helvetica" w:hAnsi="Helvetica"/>
          <w:sz w:val="22"/>
          <w:szCs w:val="22"/>
        </w:rPr>
        <w:t xml:space="preserve">Are selected by TAC through a blinded review process of applications. </w:t>
      </w:r>
    </w:p>
    <w:p w14:paraId="6D29BC65" w14:textId="77777777" w:rsidR="00B55712" w:rsidRPr="00151AEE" w:rsidRDefault="00B55712" w:rsidP="00FC2743">
      <w:pPr>
        <w:rPr>
          <w:rFonts w:ascii="Helvetica" w:hAnsi="Helvetica"/>
          <w:sz w:val="22"/>
          <w:szCs w:val="22"/>
        </w:rPr>
      </w:pPr>
    </w:p>
    <w:p w14:paraId="7DAD0EE9" w14:textId="77777777" w:rsidR="00B55712" w:rsidRPr="00151AEE" w:rsidRDefault="00B55712" w:rsidP="00FC2743">
      <w:pPr>
        <w:rPr>
          <w:rFonts w:ascii="Helvetica" w:hAnsi="Helvetica"/>
          <w:sz w:val="22"/>
          <w:szCs w:val="22"/>
        </w:rPr>
      </w:pPr>
      <w:r w:rsidRPr="00151AEE">
        <w:rPr>
          <w:rFonts w:ascii="Helvetica" w:hAnsi="Helvetica"/>
          <w:sz w:val="22"/>
          <w:szCs w:val="22"/>
        </w:rPr>
        <w:t>The TAC may confer Ontario Undergraduate Student Alliance Award for Teaching Excellence to one (1) instructor each year who:</w:t>
      </w:r>
    </w:p>
    <w:p w14:paraId="7321EF29" w14:textId="77777777" w:rsidR="00B55712" w:rsidRPr="00151AEE" w:rsidRDefault="00B55712" w:rsidP="00FC2743">
      <w:pPr>
        <w:pStyle w:val="ListParagraph"/>
        <w:numPr>
          <w:ilvl w:val="0"/>
          <w:numId w:val="18"/>
        </w:numPr>
        <w:rPr>
          <w:rFonts w:ascii="Helvetica" w:hAnsi="Helvetica"/>
          <w:sz w:val="22"/>
          <w:szCs w:val="22"/>
        </w:rPr>
      </w:pPr>
      <w:r w:rsidRPr="00151AEE">
        <w:rPr>
          <w:rFonts w:ascii="Helvetica" w:hAnsi="Helvetica"/>
          <w:sz w:val="22"/>
          <w:szCs w:val="22"/>
        </w:rPr>
        <w:t xml:space="preserve">Has shown evidence of interesting students in learning the course materials and engage their students in learning and </w:t>
      </w:r>
      <w:proofErr w:type="gramStart"/>
      <w:r w:rsidRPr="00151AEE">
        <w:rPr>
          <w:rFonts w:ascii="Helvetica" w:hAnsi="Helvetica"/>
          <w:sz w:val="22"/>
          <w:szCs w:val="22"/>
        </w:rPr>
        <w:t>discovery;</w:t>
      </w:r>
      <w:proofErr w:type="gramEnd"/>
    </w:p>
    <w:p w14:paraId="77E0F519" w14:textId="77777777" w:rsidR="00B55712" w:rsidRPr="00151AEE" w:rsidRDefault="00B55712" w:rsidP="00FC2743">
      <w:pPr>
        <w:pStyle w:val="ListParagraph"/>
        <w:numPr>
          <w:ilvl w:val="0"/>
          <w:numId w:val="18"/>
        </w:numPr>
        <w:rPr>
          <w:rFonts w:ascii="Helvetica" w:hAnsi="Helvetica"/>
          <w:sz w:val="22"/>
          <w:szCs w:val="22"/>
        </w:rPr>
      </w:pPr>
      <w:r w:rsidRPr="00151AEE">
        <w:rPr>
          <w:rFonts w:ascii="Helvetica" w:hAnsi="Helvetica"/>
          <w:sz w:val="22"/>
          <w:szCs w:val="22"/>
        </w:rPr>
        <w:t xml:space="preserve">Has shown evidence of helping students develop thinking and learning </w:t>
      </w:r>
      <w:proofErr w:type="gramStart"/>
      <w:r w:rsidRPr="00151AEE">
        <w:rPr>
          <w:rFonts w:ascii="Helvetica" w:hAnsi="Helvetica"/>
          <w:sz w:val="22"/>
          <w:szCs w:val="22"/>
        </w:rPr>
        <w:t>skills;</w:t>
      </w:r>
      <w:proofErr w:type="gramEnd"/>
    </w:p>
    <w:p w14:paraId="0C27AE01" w14:textId="77777777" w:rsidR="00B55712" w:rsidRPr="00151AEE" w:rsidRDefault="00B55712" w:rsidP="00FC2743">
      <w:pPr>
        <w:pStyle w:val="ListParagraph"/>
        <w:numPr>
          <w:ilvl w:val="0"/>
          <w:numId w:val="18"/>
        </w:numPr>
        <w:rPr>
          <w:rFonts w:ascii="Helvetica" w:hAnsi="Helvetica"/>
          <w:sz w:val="22"/>
          <w:szCs w:val="22"/>
        </w:rPr>
      </w:pPr>
      <w:r w:rsidRPr="00151AEE">
        <w:rPr>
          <w:rFonts w:ascii="Helvetica" w:hAnsi="Helvetica"/>
          <w:sz w:val="22"/>
          <w:szCs w:val="22"/>
        </w:rPr>
        <w:t xml:space="preserve">Is a close second place nominee for </w:t>
      </w:r>
      <w:proofErr w:type="gramStart"/>
      <w:r w:rsidRPr="00151AEE">
        <w:rPr>
          <w:rFonts w:ascii="Helvetica" w:hAnsi="Helvetica"/>
          <w:sz w:val="22"/>
          <w:szCs w:val="22"/>
        </w:rPr>
        <w:t>another award;</w:t>
      </w:r>
      <w:proofErr w:type="gramEnd"/>
    </w:p>
    <w:p w14:paraId="694B21D2" w14:textId="77777777" w:rsidR="00B55712" w:rsidRPr="00151AEE" w:rsidRDefault="00B55712" w:rsidP="00FC2743">
      <w:pPr>
        <w:pStyle w:val="ListParagraph"/>
        <w:numPr>
          <w:ilvl w:val="0"/>
          <w:numId w:val="18"/>
        </w:numPr>
        <w:rPr>
          <w:rFonts w:ascii="Helvetica" w:hAnsi="Helvetica"/>
          <w:sz w:val="22"/>
          <w:szCs w:val="22"/>
        </w:rPr>
      </w:pPr>
      <w:r w:rsidRPr="00151AEE">
        <w:rPr>
          <w:rFonts w:ascii="Helvetica" w:hAnsi="Helvetica"/>
          <w:sz w:val="22"/>
          <w:szCs w:val="22"/>
        </w:rPr>
        <w:t xml:space="preserve">Has a contractually limited </w:t>
      </w:r>
      <w:proofErr w:type="gramStart"/>
      <w:r w:rsidRPr="00151AEE">
        <w:rPr>
          <w:rFonts w:ascii="Helvetica" w:hAnsi="Helvetica"/>
          <w:sz w:val="22"/>
          <w:szCs w:val="22"/>
        </w:rPr>
        <w:t>appointment;</w:t>
      </w:r>
      <w:proofErr w:type="gramEnd"/>
    </w:p>
    <w:p w14:paraId="025D5DBE" w14:textId="77777777" w:rsidR="00B55712" w:rsidRPr="00151AEE" w:rsidRDefault="00B55712" w:rsidP="00FC2743">
      <w:pPr>
        <w:pStyle w:val="ListParagraph"/>
        <w:numPr>
          <w:ilvl w:val="0"/>
          <w:numId w:val="18"/>
        </w:numPr>
        <w:rPr>
          <w:rFonts w:ascii="Helvetica" w:hAnsi="Helvetica"/>
          <w:sz w:val="22"/>
          <w:szCs w:val="22"/>
        </w:rPr>
      </w:pPr>
      <w:r w:rsidRPr="00151AEE">
        <w:rPr>
          <w:rFonts w:ascii="Helvetica" w:hAnsi="Helvetica"/>
          <w:sz w:val="22"/>
          <w:szCs w:val="22"/>
        </w:rPr>
        <w:t>Has been selected by the TAC with the aid of the Vice-President (Education) through a blinded review process using comments received from the nomination and evaluation processes as well as curriculum vitae or teaching portfolio.</w:t>
      </w:r>
    </w:p>
    <w:p w14:paraId="52E1FD71" w14:textId="77777777" w:rsidR="00B55712" w:rsidRPr="00151AEE" w:rsidRDefault="00B55712" w:rsidP="00FC2743">
      <w:pPr>
        <w:pStyle w:val="ListParagraph"/>
        <w:ind w:left="1224"/>
        <w:rPr>
          <w:rFonts w:ascii="Helvetica" w:hAnsi="Helvetica"/>
          <w:sz w:val="22"/>
          <w:szCs w:val="22"/>
        </w:rPr>
      </w:pPr>
    </w:p>
    <w:p w14:paraId="42C4B377" w14:textId="77777777" w:rsidR="00B55712" w:rsidRPr="00151AEE" w:rsidRDefault="00B55712" w:rsidP="00FC2743">
      <w:pPr>
        <w:rPr>
          <w:rFonts w:ascii="Helvetica" w:hAnsi="Helvetica"/>
          <w:sz w:val="22"/>
          <w:szCs w:val="22"/>
        </w:rPr>
      </w:pPr>
      <w:r w:rsidRPr="00151AEE">
        <w:rPr>
          <w:rFonts w:ascii="Helvetica" w:hAnsi="Helvetica"/>
          <w:sz w:val="22"/>
          <w:szCs w:val="22"/>
        </w:rPr>
        <w:t>The TAC shall confer awards on criteria including but not limited to:</w:t>
      </w:r>
    </w:p>
    <w:p w14:paraId="0F25BDCA" w14:textId="77777777" w:rsidR="00B55712" w:rsidRPr="00151AEE" w:rsidRDefault="00B55712" w:rsidP="00FC2743">
      <w:pPr>
        <w:pStyle w:val="ListParagraph"/>
        <w:numPr>
          <w:ilvl w:val="0"/>
          <w:numId w:val="19"/>
        </w:numPr>
        <w:rPr>
          <w:rFonts w:ascii="Helvetica" w:hAnsi="Helvetica"/>
          <w:sz w:val="22"/>
          <w:szCs w:val="22"/>
        </w:rPr>
      </w:pPr>
      <w:r w:rsidRPr="00151AEE">
        <w:rPr>
          <w:rFonts w:ascii="Helvetica" w:hAnsi="Helvetica"/>
          <w:sz w:val="22"/>
          <w:szCs w:val="22"/>
        </w:rPr>
        <w:t xml:space="preserve">Organization of the </w:t>
      </w:r>
      <w:proofErr w:type="gramStart"/>
      <w:r w:rsidRPr="00151AEE">
        <w:rPr>
          <w:rFonts w:ascii="Helvetica" w:hAnsi="Helvetica"/>
          <w:sz w:val="22"/>
          <w:szCs w:val="22"/>
        </w:rPr>
        <w:t>material;</w:t>
      </w:r>
      <w:proofErr w:type="gramEnd"/>
    </w:p>
    <w:p w14:paraId="35EEB4E4" w14:textId="77777777" w:rsidR="00B55712" w:rsidRPr="00151AEE" w:rsidRDefault="00B55712" w:rsidP="00FC2743">
      <w:pPr>
        <w:pStyle w:val="ListParagraph"/>
        <w:numPr>
          <w:ilvl w:val="0"/>
          <w:numId w:val="19"/>
        </w:numPr>
        <w:rPr>
          <w:rFonts w:ascii="Helvetica" w:hAnsi="Helvetica"/>
          <w:sz w:val="22"/>
          <w:szCs w:val="22"/>
        </w:rPr>
      </w:pPr>
      <w:r w:rsidRPr="00151AEE">
        <w:rPr>
          <w:rFonts w:ascii="Helvetica" w:hAnsi="Helvetica"/>
          <w:sz w:val="22"/>
          <w:szCs w:val="22"/>
        </w:rPr>
        <w:t xml:space="preserve">Ability to </w:t>
      </w:r>
      <w:proofErr w:type="gramStart"/>
      <w:r w:rsidRPr="00151AEE">
        <w:rPr>
          <w:rFonts w:ascii="Helvetica" w:hAnsi="Helvetica"/>
          <w:sz w:val="22"/>
          <w:szCs w:val="22"/>
        </w:rPr>
        <w:t>communicate;</w:t>
      </w:r>
      <w:proofErr w:type="gramEnd"/>
    </w:p>
    <w:p w14:paraId="219E65BF" w14:textId="77777777" w:rsidR="00B55712" w:rsidRPr="00151AEE" w:rsidRDefault="00B55712" w:rsidP="00FC2743">
      <w:pPr>
        <w:pStyle w:val="ListParagraph"/>
        <w:numPr>
          <w:ilvl w:val="0"/>
          <w:numId w:val="19"/>
        </w:numPr>
        <w:rPr>
          <w:rFonts w:ascii="Helvetica" w:hAnsi="Helvetica"/>
          <w:sz w:val="22"/>
          <w:szCs w:val="22"/>
        </w:rPr>
      </w:pPr>
      <w:r w:rsidRPr="00151AEE">
        <w:rPr>
          <w:rFonts w:ascii="Helvetica" w:hAnsi="Helvetica"/>
          <w:sz w:val="22"/>
          <w:szCs w:val="22"/>
        </w:rPr>
        <w:t xml:space="preserve">Delivery of </w:t>
      </w:r>
      <w:proofErr w:type="gramStart"/>
      <w:r w:rsidRPr="00151AEE">
        <w:rPr>
          <w:rFonts w:ascii="Helvetica" w:hAnsi="Helvetica"/>
          <w:sz w:val="22"/>
          <w:szCs w:val="22"/>
        </w:rPr>
        <w:t>style;</w:t>
      </w:r>
      <w:proofErr w:type="gramEnd"/>
    </w:p>
    <w:p w14:paraId="54B21ED6" w14:textId="77777777" w:rsidR="00B55712" w:rsidRPr="00151AEE" w:rsidRDefault="00B55712" w:rsidP="00FC2743">
      <w:pPr>
        <w:pStyle w:val="ListParagraph"/>
        <w:numPr>
          <w:ilvl w:val="0"/>
          <w:numId w:val="19"/>
        </w:numPr>
        <w:rPr>
          <w:rFonts w:ascii="Helvetica" w:hAnsi="Helvetica"/>
          <w:sz w:val="22"/>
          <w:szCs w:val="22"/>
        </w:rPr>
      </w:pPr>
      <w:proofErr w:type="gramStart"/>
      <w:r w:rsidRPr="00151AEE">
        <w:rPr>
          <w:rFonts w:ascii="Helvetica" w:hAnsi="Helvetica"/>
          <w:sz w:val="22"/>
          <w:szCs w:val="22"/>
        </w:rPr>
        <w:t>Flexibility;</w:t>
      </w:r>
      <w:proofErr w:type="gramEnd"/>
    </w:p>
    <w:p w14:paraId="5055D866" w14:textId="77777777" w:rsidR="00B55712" w:rsidRPr="00151AEE" w:rsidRDefault="00B55712" w:rsidP="00FC2743">
      <w:pPr>
        <w:pStyle w:val="ListParagraph"/>
        <w:numPr>
          <w:ilvl w:val="0"/>
          <w:numId w:val="19"/>
        </w:numPr>
        <w:rPr>
          <w:rFonts w:ascii="Helvetica" w:hAnsi="Helvetica"/>
          <w:sz w:val="22"/>
          <w:szCs w:val="22"/>
        </w:rPr>
      </w:pPr>
      <w:proofErr w:type="gramStart"/>
      <w:r w:rsidRPr="00151AEE">
        <w:rPr>
          <w:rFonts w:ascii="Helvetica" w:hAnsi="Helvetica"/>
          <w:sz w:val="22"/>
          <w:szCs w:val="22"/>
        </w:rPr>
        <w:t>Accessibility;</w:t>
      </w:r>
      <w:proofErr w:type="gramEnd"/>
      <w:r w:rsidRPr="00151AEE">
        <w:rPr>
          <w:rFonts w:ascii="Helvetica" w:hAnsi="Helvetica"/>
          <w:sz w:val="22"/>
          <w:szCs w:val="22"/>
        </w:rPr>
        <w:t xml:space="preserve"> </w:t>
      </w:r>
    </w:p>
    <w:p w14:paraId="085BA709" w14:textId="77777777" w:rsidR="00B55712" w:rsidRPr="00151AEE" w:rsidRDefault="00B55712" w:rsidP="00FC2743">
      <w:pPr>
        <w:pStyle w:val="ListParagraph"/>
        <w:numPr>
          <w:ilvl w:val="0"/>
          <w:numId w:val="19"/>
        </w:numPr>
        <w:rPr>
          <w:rFonts w:ascii="Helvetica" w:hAnsi="Helvetica"/>
          <w:sz w:val="22"/>
          <w:szCs w:val="22"/>
        </w:rPr>
      </w:pPr>
      <w:proofErr w:type="gramStart"/>
      <w:r w:rsidRPr="00151AEE">
        <w:rPr>
          <w:rFonts w:ascii="Helvetica" w:hAnsi="Helvetica"/>
          <w:sz w:val="22"/>
          <w:szCs w:val="22"/>
        </w:rPr>
        <w:t>Approachability;</w:t>
      </w:r>
      <w:proofErr w:type="gramEnd"/>
    </w:p>
    <w:p w14:paraId="3F23BFEA" w14:textId="77777777" w:rsidR="00B55712" w:rsidRPr="00151AEE" w:rsidRDefault="00B55712" w:rsidP="00FC2743">
      <w:pPr>
        <w:pStyle w:val="ListParagraph"/>
        <w:numPr>
          <w:ilvl w:val="0"/>
          <w:numId w:val="19"/>
        </w:numPr>
        <w:rPr>
          <w:rFonts w:ascii="Helvetica" w:hAnsi="Helvetica"/>
          <w:sz w:val="22"/>
          <w:szCs w:val="22"/>
        </w:rPr>
      </w:pPr>
      <w:r w:rsidRPr="00151AEE">
        <w:rPr>
          <w:rFonts w:ascii="Helvetica" w:hAnsi="Helvetica"/>
          <w:sz w:val="22"/>
          <w:szCs w:val="22"/>
        </w:rPr>
        <w:t xml:space="preserve">Enthusiasm of </w:t>
      </w:r>
      <w:proofErr w:type="gramStart"/>
      <w:r w:rsidRPr="00151AEE">
        <w:rPr>
          <w:rFonts w:ascii="Helvetica" w:hAnsi="Helvetica"/>
          <w:sz w:val="22"/>
          <w:szCs w:val="22"/>
        </w:rPr>
        <w:t>instructor;</w:t>
      </w:r>
      <w:proofErr w:type="gramEnd"/>
    </w:p>
    <w:p w14:paraId="59863DF6" w14:textId="77777777" w:rsidR="00B55712" w:rsidRPr="00151AEE" w:rsidRDefault="00B55712" w:rsidP="00FC2743">
      <w:pPr>
        <w:pStyle w:val="ListParagraph"/>
        <w:numPr>
          <w:ilvl w:val="0"/>
          <w:numId w:val="19"/>
        </w:numPr>
        <w:rPr>
          <w:rFonts w:ascii="Helvetica" w:hAnsi="Helvetica"/>
          <w:sz w:val="22"/>
          <w:szCs w:val="22"/>
        </w:rPr>
      </w:pPr>
      <w:r w:rsidRPr="00151AEE">
        <w:rPr>
          <w:rFonts w:ascii="Helvetica" w:hAnsi="Helvetica"/>
          <w:sz w:val="22"/>
          <w:szCs w:val="22"/>
        </w:rPr>
        <w:t xml:space="preserve">Overall teaching </w:t>
      </w:r>
      <w:proofErr w:type="gramStart"/>
      <w:r w:rsidRPr="00151AEE">
        <w:rPr>
          <w:rFonts w:ascii="Helvetica" w:hAnsi="Helvetica"/>
          <w:sz w:val="22"/>
          <w:szCs w:val="22"/>
        </w:rPr>
        <w:t>ability;</w:t>
      </w:r>
      <w:proofErr w:type="gramEnd"/>
    </w:p>
    <w:p w14:paraId="0E03EAED" w14:textId="77777777" w:rsidR="00B55712" w:rsidRPr="00151AEE" w:rsidRDefault="00B55712" w:rsidP="00FC2743">
      <w:pPr>
        <w:pStyle w:val="ListParagraph"/>
        <w:numPr>
          <w:ilvl w:val="0"/>
          <w:numId w:val="19"/>
        </w:numPr>
        <w:rPr>
          <w:rFonts w:ascii="Helvetica" w:hAnsi="Helvetica"/>
          <w:sz w:val="22"/>
          <w:szCs w:val="22"/>
        </w:rPr>
      </w:pPr>
      <w:r w:rsidRPr="00151AEE">
        <w:rPr>
          <w:rFonts w:ascii="Helvetica" w:hAnsi="Helvetica"/>
          <w:sz w:val="22"/>
          <w:szCs w:val="22"/>
        </w:rPr>
        <w:t>Knowledge of Course Material.</w:t>
      </w:r>
    </w:p>
    <w:p w14:paraId="4758306F" w14:textId="77777777" w:rsidR="00B55712" w:rsidRPr="00151AEE" w:rsidRDefault="00B55712" w:rsidP="00B55712">
      <w:pPr>
        <w:rPr>
          <w:rFonts w:ascii="Helvetica" w:hAnsi="Helvetica"/>
          <w:sz w:val="22"/>
          <w:szCs w:val="22"/>
        </w:rPr>
      </w:pPr>
    </w:p>
    <w:p w14:paraId="1D46DDDB" w14:textId="77777777" w:rsidR="005F18E2" w:rsidRPr="00151AEE" w:rsidRDefault="005F18E2" w:rsidP="005F18E2">
      <w:pPr>
        <w:rPr>
          <w:rFonts w:ascii="Helvetica" w:hAnsi="Helvetica"/>
          <w:sz w:val="22"/>
          <w:szCs w:val="22"/>
        </w:rPr>
      </w:pPr>
    </w:p>
    <w:p w14:paraId="42B9D1A2" w14:textId="77777777" w:rsidR="005F18E2" w:rsidRPr="00151AEE" w:rsidRDefault="005F18E2" w:rsidP="005F18E2">
      <w:pPr>
        <w:rPr>
          <w:rFonts w:ascii="Helvetica" w:hAnsi="Helvetica"/>
          <w:sz w:val="28"/>
          <w:szCs w:val="28"/>
        </w:rPr>
      </w:pPr>
    </w:p>
    <w:p w14:paraId="6DABFABB" w14:textId="77777777" w:rsidR="00FF716C" w:rsidRPr="00151AEE" w:rsidRDefault="00FF716C" w:rsidP="00FF716C">
      <w:pPr>
        <w:pStyle w:val="BodyText2"/>
        <w:rPr>
          <w:rFonts w:ascii="Helvetica" w:hAnsi="Helvetica"/>
          <w:szCs w:val="22"/>
        </w:rPr>
      </w:pPr>
    </w:p>
    <w:p w14:paraId="79BED1B0" w14:textId="77777777" w:rsidR="00FF716C" w:rsidRPr="00151AEE" w:rsidRDefault="00FF716C" w:rsidP="00FF716C">
      <w:pPr>
        <w:rPr>
          <w:rFonts w:ascii="Helvetica" w:hAnsi="Helvetica"/>
          <w:sz w:val="22"/>
          <w:szCs w:val="22"/>
        </w:rPr>
      </w:pPr>
    </w:p>
    <w:sectPr w:rsidR="00FF716C" w:rsidRPr="00151AEE" w:rsidSect="001D56FB">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346BE" w14:textId="77777777" w:rsidR="00BB3808" w:rsidRDefault="00BB3808" w:rsidP="00A055E4">
      <w:r>
        <w:separator/>
      </w:r>
    </w:p>
  </w:endnote>
  <w:endnote w:type="continuationSeparator" w:id="0">
    <w:p w14:paraId="54C64853" w14:textId="77777777" w:rsidR="00BB3808" w:rsidRDefault="00BB3808" w:rsidP="00A0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rillee It BT">
    <w:altName w:val="Impact"/>
    <w:charset w:val="00"/>
    <w:family w:val="roman"/>
    <w:pitch w:val="variable"/>
    <w:sig w:usb0="00000087" w:usb1="00000000" w:usb2="00000000" w:usb3="00000000" w:csb0="0000001B"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56177" w14:textId="77777777" w:rsidR="008A0D9D" w:rsidRDefault="008A0D9D">
    <w:pPr>
      <w:pStyle w:val="Footer"/>
      <w:rPr>
        <w:rFonts w:ascii="Arial Narrow" w:hAnsi="Arial Narrow"/>
        <w:sz w:val="20"/>
        <w:szCs w:val="20"/>
        <w:lang w:val="en-CA"/>
      </w:rPr>
    </w:pPr>
  </w:p>
  <w:p w14:paraId="30BDD0C8" w14:textId="5897E6FB" w:rsidR="00FE5E35" w:rsidRPr="00151AEE" w:rsidRDefault="00743F55">
    <w:pPr>
      <w:pStyle w:val="Footer"/>
      <w:rPr>
        <w:rFonts w:ascii="Helvetica" w:hAnsi="Helvetica"/>
        <w:sz w:val="20"/>
        <w:szCs w:val="20"/>
        <w:lang w:val="en-CA"/>
      </w:rPr>
    </w:pPr>
    <w:r w:rsidRPr="00151AEE">
      <w:rPr>
        <w:rFonts w:ascii="Helvetica" w:hAnsi="Helvetica"/>
        <w:noProof/>
        <w:sz w:val="20"/>
        <w:szCs w:val="20"/>
      </w:rPr>
      <w:drawing>
        <wp:anchor distT="0" distB="0" distL="114300" distR="114300" simplePos="0" relativeHeight="251661312" behindDoc="1" locked="0" layoutInCell="1" allowOverlap="1" wp14:anchorId="00692207" wp14:editId="17490028">
          <wp:simplePos x="0" y="0"/>
          <wp:positionH relativeFrom="column">
            <wp:posOffset>-800100</wp:posOffset>
          </wp:positionH>
          <wp:positionV relativeFrom="paragraph">
            <wp:posOffset>186055</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00B55712" w:rsidRPr="00151AEE">
      <w:rPr>
        <w:rFonts w:ascii="Helvetica" w:hAnsi="Helvetica"/>
        <w:sz w:val="20"/>
        <w:szCs w:val="20"/>
        <w:lang w:val="en-CA"/>
      </w:rPr>
      <w:t>Approved EB 16-03</w:t>
    </w:r>
  </w:p>
  <w:p w14:paraId="76BCCBCF" w14:textId="66D64F89" w:rsidR="008A0D9D" w:rsidRDefault="008A0D9D">
    <w:pPr>
      <w:pStyle w:val="Footer"/>
      <w:rPr>
        <w:rFonts w:ascii="Arial Narrow" w:hAnsi="Arial Narrow"/>
        <w:sz w:val="20"/>
        <w:szCs w:val="20"/>
        <w:lang w:val="en-CA"/>
      </w:rPr>
    </w:pPr>
  </w:p>
  <w:p w14:paraId="150F0870" w14:textId="586C94DE" w:rsidR="008A0D9D" w:rsidRPr="008A0D9D" w:rsidRDefault="008A0D9D">
    <w:pPr>
      <w:pStyle w:val="Footer"/>
      <w:rPr>
        <w:rFonts w:ascii="Arial Narrow" w:hAnsi="Arial Narrow"/>
        <w:sz w:val="20"/>
        <w:szCs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589CC" w14:textId="77777777" w:rsidR="00BB3808" w:rsidRDefault="00BB3808" w:rsidP="00A055E4">
      <w:r>
        <w:separator/>
      </w:r>
    </w:p>
  </w:footnote>
  <w:footnote w:type="continuationSeparator" w:id="0">
    <w:p w14:paraId="32B2C2C5" w14:textId="77777777" w:rsidR="00BB3808" w:rsidRDefault="00BB3808" w:rsidP="00A0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A5EF8" w14:textId="28F1C7F5" w:rsidR="00FE5E35" w:rsidRPr="00151AEE" w:rsidRDefault="00151AEE" w:rsidP="00151AEE">
    <w:pPr>
      <w:pStyle w:val="Header"/>
      <w:jc w:val="right"/>
      <w:rPr>
        <w:rFonts w:ascii="Helvetica" w:hAnsi="Helvetica"/>
        <w:sz w:val="20"/>
      </w:rPr>
    </w:pPr>
    <w:r>
      <w:rPr>
        <w:rFonts w:ascii="Helvetica" w:hAnsi="Helvetica"/>
        <w:sz w:val="20"/>
      </w:rPr>
      <w:t xml:space="preserve">Operating Policy – </w:t>
    </w:r>
    <w:r w:rsidR="00FE5E35" w:rsidRPr="00151AEE">
      <w:rPr>
        <w:rFonts w:ascii="Helvetica" w:hAnsi="Helvetica"/>
        <w:sz w:val="20"/>
      </w:rPr>
      <w:t>MSU M</w:t>
    </w:r>
    <w:r w:rsidR="008A0D9D" w:rsidRPr="00151AEE">
      <w:rPr>
        <w:rFonts w:ascii="Helvetica" w:hAnsi="Helvetica"/>
        <w:sz w:val="20"/>
      </w:rPr>
      <w:t>academics</w:t>
    </w:r>
    <w:r w:rsidR="00B55712" w:rsidRPr="00151AEE">
      <w:rPr>
        <w:rFonts w:ascii="Helvetica" w:hAnsi="Helvetica"/>
        <w:sz w:val="20"/>
      </w:rPr>
      <w:t xml:space="preserve"> – A</w:t>
    </w:r>
    <w:r w:rsidR="008A0D9D" w:rsidRPr="00151AEE">
      <w:rPr>
        <w:rFonts w:ascii="Helvetica" w:hAnsi="Helvetica"/>
        <w:sz w:val="20"/>
      </w:rPr>
      <w:t>ppendix</w:t>
    </w:r>
    <w:r w:rsidR="00B55712" w:rsidRPr="00151AEE">
      <w:rPr>
        <w:rFonts w:ascii="Helvetica" w:hAnsi="Helvetica"/>
        <w:sz w:val="20"/>
      </w:rPr>
      <w:t xml:space="preserve"> A</w:t>
    </w:r>
    <w:r w:rsidR="00FE5E35" w:rsidRPr="00151AEE">
      <w:rPr>
        <w:rFonts w:ascii="Helvetica" w:hAnsi="Helvetica"/>
        <w:sz w:val="20"/>
      </w:rPr>
      <w:t xml:space="preserve"> – P</w:t>
    </w:r>
    <w:r w:rsidR="008A0D9D" w:rsidRPr="00151AEE">
      <w:rPr>
        <w:rFonts w:ascii="Helvetica" w:hAnsi="Helvetica"/>
        <w:sz w:val="20"/>
      </w:rPr>
      <w:t>age</w:t>
    </w:r>
    <w:r w:rsidR="00FE5E35" w:rsidRPr="00151AEE">
      <w:rPr>
        <w:rFonts w:ascii="Helvetica" w:hAnsi="Helvetica"/>
        <w:sz w:val="20"/>
      </w:rPr>
      <w:t xml:space="preserve"> </w:t>
    </w:r>
    <w:r w:rsidR="009605AB" w:rsidRPr="00151AEE">
      <w:rPr>
        <w:rStyle w:val="PageNumber"/>
        <w:rFonts w:ascii="Helvetica" w:hAnsi="Helvetica"/>
        <w:sz w:val="20"/>
      </w:rPr>
      <w:fldChar w:fldCharType="begin"/>
    </w:r>
    <w:r w:rsidR="00FE5E35" w:rsidRPr="00151AEE">
      <w:rPr>
        <w:rStyle w:val="PageNumber"/>
        <w:rFonts w:ascii="Helvetica" w:hAnsi="Helvetica"/>
        <w:sz w:val="20"/>
      </w:rPr>
      <w:instrText xml:space="preserve"> PAGE </w:instrText>
    </w:r>
    <w:r w:rsidR="009605AB" w:rsidRPr="00151AEE">
      <w:rPr>
        <w:rStyle w:val="PageNumber"/>
        <w:rFonts w:ascii="Helvetica" w:hAnsi="Helvetica"/>
        <w:sz w:val="20"/>
      </w:rPr>
      <w:fldChar w:fldCharType="separate"/>
    </w:r>
    <w:r w:rsidR="00FC2743" w:rsidRPr="00151AEE">
      <w:rPr>
        <w:rStyle w:val="PageNumber"/>
        <w:rFonts w:ascii="Helvetica" w:hAnsi="Helvetica"/>
        <w:noProof/>
        <w:sz w:val="20"/>
      </w:rPr>
      <w:t>2</w:t>
    </w:r>
    <w:r w:rsidR="009605AB" w:rsidRPr="00151AEE">
      <w:rPr>
        <w:rStyle w:val="PageNumber"/>
        <w:rFonts w:ascii="Helvetica" w:hAnsi="Helvetica"/>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3994D" w14:textId="5DA56042" w:rsidR="00FE5E35" w:rsidRDefault="008A0D9D">
    <w:pPr>
      <w:pStyle w:val="Header"/>
    </w:pPr>
    <w:r>
      <w:rPr>
        <w:noProof/>
      </w:rPr>
      <w:drawing>
        <wp:anchor distT="0" distB="0" distL="114300" distR="114300" simplePos="0" relativeHeight="251659264" behindDoc="0" locked="0" layoutInCell="1" allowOverlap="1" wp14:anchorId="2C6AA4C9" wp14:editId="4850BF44">
          <wp:simplePos x="0" y="0"/>
          <wp:positionH relativeFrom="column">
            <wp:posOffset>-114300</wp:posOffset>
          </wp:positionH>
          <wp:positionV relativeFrom="paragraph">
            <wp:posOffset>-209550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E5A78"/>
    <w:multiLevelType w:val="hybridMultilevel"/>
    <w:tmpl w:val="0ED69E0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6126E1"/>
    <w:multiLevelType w:val="multilevel"/>
    <w:tmpl w:val="A1B2AC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8287F24"/>
    <w:multiLevelType w:val="multilevel"/>
    <w:tmpl w:val="C75A44C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0CF6B2A"/>
    <w:multiLevelType w:val="hybridMultilevel"/>
    <w:tmpl w:val="D75432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06BF0"/>
    <w:multiLevelType w:val="hybridMultilevel"/>
    <w:tmpl w:val="42F066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065784"/>
    <w:multiLevelType w:val="multilevel"/>
    <w:tmpl w:val="896094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28BB363E"/>
    <w:multiLevelType w:val="multilevel"/>
    <w:tmpl w:val="325438D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EB347F3"/>
    <w:multiLevelType w:val="multilevel"/>
    <w:tmpl w:val="DC2643D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0E836B7"/>
    <w:multiLevelType w:val="hybridMultilevel"/>
    <w:tmpl w:val="8264A0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F1E3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CF66AB"/>
    <w:multiLevelType w:val="hybridMultilevel"/>
    <w:tmpl w:val="D55602E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36367B"/>
    <w:multiLevelType w:val="multilevel"/>
    <w:tmpl w:val="896094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541A22D0"/>
    <w:multiLevelType w:val="hybridMultilevel"/>
    <w:tmpl w:val="70584DF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A6E3DAB"/>
    <w:multiLevelType w:val="multilevel"/>
    <w:tmpl w:val="FDF083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6C653DC7"/>
    <w:multiLevelType w:val="hybridMultilevel"/>
    <w:tmpl w:val="9B848D0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1481D66"/>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8885A3B"/>
    <w:multiLevelType w:val="multilevel"/>
    <w:tmpl w:val="3E84DF4E"/>
    <w:lvl w:ilvl="0">
      <w:start w:val="1"/>
      <w:numFmt w:val="decimal"/>
      <w:lvlText w:val="%1."/>
      <w:lvlJc w:val="left"/>
      <w:pPr>
        <w:ind w:left="360" w:hanging="360"/>
      </w:pPr>
    </w:lvl>
    <w:lvl w:ilvl="1">
      <w:start w:val="1"/>
      <w:numFmt w:val="decimal"/>
      <w:lvlText w:val="%1.%2."/>
      <w:lvlJc w:val="left"/>
      <w:pPr>
        <w:ind w:left="792" w:hanging="432"/>
      </w:pPr>
      <w:rPr>
        <w:rFonts w:ascii="Arial Narrow" w:hAnsi="Arial Narrow"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9E1EE5"/>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B3057D"/>
    <w:multiLevelType w:val="hybridMultilevel"/>
    <w:tmpl w:val="5E7408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2"/>
  </w:num>
  <w:num w:numId="5">
    <w:abstractNumId w:val="13"/>
  </w:num>
  <w:num w:numId="6">
    <w:abstractNumId w:val="5"/>
  </w:num>
  <w:num w:numId="7">
    <w:abstractNumId w:val="1"/>
  </w:num>
  <w:num w:numId="8">
    <w:abstractNumId w:val="17"/>
  </w:num>
  <w:num w:numId="9">
    <w:abstractNumId w:val="16"/>
  </w:num>
  <w:num w:numId="10">
    <w:abstractNumId w:val="9"/>
  </w:num>
  <w:num w:numId="11">
    <w:abstractNumId w:val="15"/>
  </w:num>
  <w:num w:numId="12">
    <w:abstractNumId w:val="12"/>
  </w:num>
  <w:num w:numId="13">
    <w:abstractNumId w:val="14"/>
  </w:num>
  <w:num w:numId="14">
    <w:abstractNumId w:val="4"/>
  </w:num>
  <w:num w:numId="15">
    <w:abstractNumId w:val="10"/>
  </w:num>
  <w:num w:numId="16">
    <w:abstractNumId w:val="18"/>
  </w:num>
  <w:num w:numId="17">
    <w:abstractNumId w:val="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7CE"/>
    <w:rsid w:val="00016F54"/>
    <w:rsid w:val="000173EE"/>
    <w:rsid w:val="00020D8F"/>
    <w:rsid w:val="00045632"/>
    <w:rsid w:val="0005541E"/>
    <w:rsid w:val="00065537"/>
    <w:rsid w:val="00087610"/>
    <w:rsid w:val="000A2913"/>
    <w:rsid w:val="000A6654"/>
    <w:rsid w:val="000B1B9F"/>
    <w:rsid w:val="00102A33"/>
    <w:rsid w:val="00125034"/>
    <w:rsid w:val="001331CC"/>
    <w:rsid w:val="00141138"/>
    <w:rsid w:val="00151AEE"/>
    <w:rsid w:val="001807CA"/>
    <w:rsid w:val="00195FFA"/>
    <w:rsid w:val="001971F5"/>
    <w:rsid w:val="001C637C"/>
    <w:rsid w:val="001D56FB"/>
    <w:rsid w:val="001F5731"/>
    <w:rsid w:val="00263668"/>
    <w:rsid w:val="002746BD"/>
    <w:rsid w:val="00292C05"/>
    <w:rsid w:val="002B1713"/>
    <w:rsid w:val="002F2355"/>
    <w:rsid w:val="00393753"/>
    <w:rsid w:val="004013A4"/>
    <w:rsid w:val="00405BB3"/>
    <w:rsid w:val="004307D4"/>
    <w:rsid w:val="004727DB"/>
    <w:rsid w:val="00491584"/>
    <w:rsid w:val="00495152"/>
    <w:rsid w:val="004D6605"/>
    <w:rsid w:val="004E4F34"/>
    <w:rsid w:val="005324C8"/>
    <w:rsid w:val="005569FE"/>
    <w:rsid w:val="0056774C"/>
    <w:rsid w:val="00573985"/>
    <w:rsid w:val="005A5032"/>
    <w:rsid w:val="005F18E2"/>
    <w:rsid w:val="00654C97"/>
    <w:rsid w:val="00666EC3"/>
    <w:rsid w:val="00705085"/>
    <w:rsid w:val="007100A6"/>
    <w:rsid w:val="00713CCB"/>
    <w:rsid w:val="00743F55"/>
    <w:rsid w:val="00783748"/>
    <w:rsid w:val="007F7746"/>
    <w:rsid w:val="00827208"/>
    <w:rsid w:val="008A0D9D"/>
    <w:rsid w:val="008A6543"/>
    <w:rsid w:val="008B507C"/>
    <w:rsid w:val="008D4715"/>
    <w:rsid w:val="008F46CA"/>
    <w:rsid w:val="00914D07"/>
    <w:rsid w:val="009605AB"/>
    <w:rsid w:val="009F0EED"/>
    <w:rsid w:val="00A055E4"/>
    <w:rsid w:val="00B13F0C"/>
    <w:rsid w:val="00B161E8"/>
    <w:rsid w:val="00B2228E"/>
    <w:rsid w:val="00B55712"/>
    <w:rsid w:val="00B64CF8"/>
    <w:rsid w:val="00B87EAC"/>
    <w:rsid w:val="00BA7141"/>
    <w:rsid w:val="00BB3808"/>
    <w:rsid w:val="00C15536"/>
    <w:rsid w:val="00C753DD"/>
    <w:rsid w:val="00C92E7D"/>
    <w:rsid w:val="00C96E54"/>
    <w:rsid w:val="00CB6438"/>
    <w:rsid w:val="00CE4478"/>
    <w:rsid w:val="00CF0971"/>
    <w:rsid w:val="00D061EE"/>
    <w:rsid w:val="00D62628"/>
    <w:rsid w:val="00D7627C"/>
    <w:rsid w:val="00D83221"/>
    <w:rsid w:val="00DB0FB2"/>
    <w:rsid w:val="00DC2D81"/>
    <w:rsid w:val="00DD5FC0"/>
    <w:rsid w:val="00E016CF"/>
    <w:rsid w:val="00E65B59"/>
    <w:rsid w:val="00E92858"/>
    <w:rsid w:val="00F023A7"/>
    <w:rsid w:val="00F25620"/>
    <w:rsid w:val="00F85C31"/>
    <w:rsid w:val="00FC2743"/>
    <w:rsid w:val="00FE2188"/>
    <w:rsid w:val="00FE5E35"/>
    <w:rsid w:val="00FE67CE"/>
    <w:rsid w:val="00FF716C"/>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5A92A6"/>
  <w15:docId w15:val="{820DC697-4364-4A3E-B671-EB557837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6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5632"/>
    <w:rPr>
      <w:rFonts w:ascii="Crillee It BT" w:hAnsi="Crillee It BT"/>
      <w:sz w:val="40"/>
    </w:rPr>
  </w:style>
  <w:style w:type="paragraph" w:styleId="BodyText2">
    <w:name w:val="Body Text 2"/>
    <w:basedOn w:val="Normal"/>
    <w:rsid w:val="00045632"/>
    <w:rPr>
      <w:rFonts w:ascii="Arial Narrow" w:hAnsi="Arial Narrow"/>
      <w:sz w:val="22"/>
    </w:rPr>
  </w:style>
  <w:style w:type="paragraph" w:styleId="Header">
    <w:name w:val="header"/>
    <w:basedOn w:val="Normal"/>
    <w:rsid w:val="00045632"/>
    <w:pPr>
      <w:tabs>
        <w:tab w:val="center" w:pos="4320"/>
        <w:tab w:val="right" w:pos="8640"/>
      </w:tabs>
    </w:pPr>
  </w:style>
  <w:style w:type="paragraph" w:styleId="Footer">
    <w:name w:val="footer"/>
    <w:basedOn w:val="Normal"/>
    <w:rsid w:val="00045632"/>
    <w:pPr>
      <w:tabs>
        <w:tab w:val="center" w:pos="4320"/>
        <w:tab w:val="right" w:pos="8640"/>
      </w:tabs>
    </w:pPr>
  </w:style>
  <w:style w:type="character" w:styleId="PageNumber">
    <w:name w:val="page number"/>
    <w:basedOn w:val="DefaultParagraphFont"/>
    <w:rsid w:val="00045632"/>
  </w:style>
  <w:style w:type="paragraph" w:styleId="BalloonText">
    <w:name w:val="Balloon Text"/>
    <w:basedOn w:val="Normal"/>
    <w:link w:val="BalloonTextChar"/>
    <w:uiPriority w:val="99"/>
    <w:semiHidden/>
    <w:unhideWhenUsed/>
    <w:rsid w:val="00FE67CE"/>
    <w:rPr>
      <w:rFonts w:ascii="Lucida Grande" w:hAnsi="Lucida Grande"/>
      <w:sz w:val="18"/>
      <w:szCs w:val="18"/>
    </w:rPr>
  </w:style>
  <w:style w:type="character" w:customStyle="1" w:styleId="BalloonTextChar">
    <w:name w:val="Balloon Text Char"/>
    <w:basedOn w:val="DefaultParagraphFont"/>
    <w:link w:val="BalloonText"/>
    <w:uiPriority w:val="99"/>
    <w:semiHidden/>
    <w:rsid w:val="00FE67CE"/>
    <w:rPr>
      <w:rFonts w:ascii="Lucida Grande" w:hAnsi="Lucida Grande"/>
      <w:sz w:val="18"/>
      <w:szCs w:val="18"/>
    </w:rPr>
  </w:style>
  <w:style w:type="paragraph" w:styleId="ListParagraph">
    <w:name w:val="List Paragraph"/>
    <w:basedOn w:val="Normal"/>
    <w:qFormat/>
    <w:rsid w:val="004307D4"/>
    <w:pPr>
      <w:ind w:left="720"/>
      <w:contextualSpacing/>
    </w:pPr>
  </w:style>
  <w:style w:type="character" w:styleId="CommentReference">
    <w:name w:val="annotation reference"/>
    <w:basedOn w:val="DefaultParagraphFont"/>
    <w:semiHidden/>
    <w:unhideWhenUsed/>
    <w:rsid w:val="007F7746"/>
    <w:rPr>
      <w:sz w:val="16"/>
      <w:szCs w:val="16"/>
    </w:rPr>
  </w:style>
  <w:style w:type="paragraph" w:styleId="CommentText">
    <w:name w:val="annotation text"/>
    <w:basedOn w:val="Normal"/>
    <w:link w:val="CommentTextChar"/>
    <w:semiHidden/>
    <w:unhideWhenUsed/>
    <w:rsid w:val="007F7746"/>
    <w:rPr>
      <w:sz w:val="20"/>
      <w:szCs w:val="20"/>
    </w:rPr>
  </w:style>
  <w:style w:type="character" w:customStyle="1" w:styleId="CommentTextChar">
    <w:name w:val="Comment Text Char"/>
    <w:basedOn w:val="DefaultParagraphFont"/>
    <w:link w:val="CommentText"/>
    <w:semiHidden/>
    <w:rsid w:val="007F7746"/>
  </w:style>
  <w:style w:type="paragraph" w:styleId="CommentSubject">
    <w:name w:val="annotation subject"/>
    <w:basedOn w:val="CommentText"/>
    <w:next w:val="CommentText"/>
    <w:link w:val="CommentSubjectChar"/>
    <w:semiHidden/>
    <w:unhideWhenUsed/>
    <w:rsid w:val="007F7746"/>
    <w:rPr>
      <w:b/>
      <w:bCs/>
    </w:rPr>
  </w:style>
  <w:style w:type="character" w:customStyle="1" w:styleId="CommentSubjectChar">
    <w:name w:val="Comment Subject Char"/>
    <w:basedOn w:val="CommentTextChar"/>
    <w:link w:val="CommentSubject"/>
    <w:semiHidden/>
    <w:rsid w:val="007F77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276C-D3BA-4F53-935E-9B58E2AB6F67}">
  <ds:schemaRefs>
    <ds:schemaRef ds:uri="http://schemas.openxmlformats.org/officeDocument/2006/bibliography"/>
  </ds:schemaRefs>
</ds:datastoreItem>
</file>

<file path=customXml/itemProps2.xml><?xml version="1.0" encoding="utf-8"?>
<ds:datastoreItem xmlns:ds="http://schemas.openxmlformats.org/officeDocument/2006/customXml" ds:itemID="{A401B8AC-1F7E-4B51-864A-E97FDAEFCA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0E8D4E-A33E-47DC-A3BB-45A4225FCC3C}">
  <ds:schemaRefs>
    <ds:schemaRef ds:uri="http://schemas.microsoft.com/sharepoint/v3/contenttype/forms"/>
  </ds:schemaRefs>
</ds:datastoreItem>
</file>

<file path=customXml/itemProps4.xml><?xml version="1.0" encoding="utf-8"?>
<ds:datastoreItem xmlns:ds="http://schemas.openxmlformats.org/officeDocument/2006/customXml" ds:itemID="{9EE88AEB-E576-4E01-9586-0A56F028C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Victoria Scott, Administrative Services Coordinator</cp:lastModifiedBy>
  <cp:revision>6</cp:revision>
  <cp:lastPrinted>2016-04-18T14:50:00Z</cp:lastPrinted>
  <dcterms:created xsi:type="dcterms:W3CDTF">2020-10-02T18:50:00Z</dcterms:created>
  <dcterms:modified xsi:type="dcterms:W3CDTF">2020-12-10T19:22:00Z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